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center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jc w:val="center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jc w:val="center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jc w:val="center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jc w:val="center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jc w:val="center"/>
        <w:rPr>
          <w:rFonts w:ascii="仿宋_GB2312" w:hAnsi="宋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闽科协发〔2015〕</w:t>
      </w:r>
      <w:r>
        <w:rPr>
          <w:rFonts w:hint="eastAsia" w:ascii="仿宋_GB2312" w:hAnsi="宋体" w:eastAsia="仿宋_GB2312" w:cs="宋体"/>
          <w:bCs/>
          <w:kern w:val="0"/>
          <w:sz w:val="32"/>
          <w:szCs w:val="32"/>
          <w:lang w:val="en-US" w:eastAsia="zh-CN"/>
        </w:rPr>
        <w:t>146</w:t>
      </w:r>
      <w:bookmarkStart w:id="1" w:name="_GoBack"/>
      <w:bookmarkEnd w:id="1"/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号</w:t>
      </w:r>
    </w:p>
    <w:p>
      <w:pPr>
        <w:widowControl/>
        <w:jc w:val="center"/>
        <w:rPr>
          <w:rFonts w:ascii="仿宋_GB2312" w:hAnsi="宋体" w:eastAsia="仿宋_GB2312" w:cs="宋体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方正小标宋简体" w:hAnsi="宋体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关于举办第二十一届全国青少年信息学</w:t>
      </w:r>
    </w:p>
    <w:p>
      <w:pPr>
        <w:widowControl/>
        <w:spacing w:line="600" w:lineRule="exact"/>
        <w:jc w:val="center"/>
        <w:rPr>
          <w:rFonts w:ascii="方正小标宋简体" w:hAnsi="宋体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奥林匹克联赛福建赛区竞赛的通知</w:t>
      </w:r>
    </w:p>
    <w:p>
      <w:pPr>
        <w:widowControl/>
        <w:spacing w:line="580" w:lineRule="exact"/>
        <w:jc w:val="left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各设区市科协、教育局，平潭综合实验区社会事业局，福州一中、福建师大附中：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根据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第二十一届</w:t>
      </w:r>
      <w:r>
        <w:rPr>
          <w:rFonts w:hint="eastAsia" w:ascii="仿宋_GB2312" w:hAnsi="宋体" w:eastAsia="仿宋_GB2312" w:cs="宋体"/>
          <w:spacing w:val="-8"/>
          <w:kern w:val="0"/>
          <w:sz w:val="32"/>
          <w:szCs w:val="32"/>
        </w:rPr>
        <w:t>全国青少年信息学奥林匹克联赛（CCFNOIP2015）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赛程安排，经省科协、省教育厅共同研究，决定委托省计算机学会承办福建赛区的竞赛工作。现将有关事项通知如下：</w:t>
      </w:r>
    </w:p>
    <w:p>
      <w:pPr>
        <w:widowControl/>
        <w:ind w:firstLine="640" w:firstLineChars="200"/>
        <w:jc w:val="left"/>
        <w:rPr>
          <w:rFonts w:ascii="黑体" w:hAnsi="华文仿宋" w:eastAsia="黑体" w:cs="宋体"/>
          <w:kern w:val="0"/>
          <w:sz w:val="32"/>
          <w:szCs w:val="32"/>
        </w:rPr>
      </w:pPr>
      <w:r>
        <w:rPr>
          <w:rFonts w:hint="eastAsia" w:ascii="黑体" w:hAnsi="华文仿宋" w:eastAsia="黑体" w:cs="宋体"/>
          <w:kern w:val="0"/>
          <w:sz w:val="32"/>
          <w:szCs w:val="32"/>
        </w:rPr>
        <w:t>一、竞赛方式和内容</w:t>
      </w:r>
    </w:p>
    <w:p>
      <w:pPr>
        <w:widowControl/>
        <w:ind w:firstLine="640" w:firstLineChars="200"/>
        <w:jc w:val="left"/>
        <w:rPr>
          <w:rFonts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竞赛分初赛、复赛、省队选拔赛三个阶段。初赛为笔试，由设区市设立考场并组织考试和评卷；复赛、省队选拔赛为上机考试，复赛、省队选拔赛各分两试，由省计算机学会统一组织。具体内容详见竞赛大纲。</w:t>
      </w:r>
    </w:p>
    <w:p>
      <w:pPr>
        <w:widowControl/>
        <w:ind w:firstLine="640" w:firstLineChars="200"/>
        <w:jc w:val="left"/>
        <w:rPr>
          <w:rFonts w:ascii="黑体" w:hAnsi="华文仿宋" w:eastAsia="黑体" w:cs="宋体"/>
          <w:kern w:val="0"/>
          <w:sz w:val="32"/>
          <w:szCs w:val="32"/>
        </w:rPr>
      </w:pPr>
      <w:r>
        <w:rPr>
          <w:rFonts w:hint="eastAsia" w:ascii="黑体" w:hAnsi="华文仿宋" w:eastAsia="黑体" w:cs="宋体"/>
          <w:kern w:val="0"/>
          <w:sz w:val="32"/>
          <w:szCs w:val="32"/>
        </w:rPr>
        <w:t>二、参赛对象和报名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参赛对象：2015-2016学年度普通高中在校生及非计算机专业的中等职业学校在校学生。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color w:val="FF0000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报名：由各设区市组织学生自愿报名（初赛报名没有名额限制）。NOIP2015初赛采用传统邮件报名方式，复赛则采用网上注册报名方式。所有选手（初赛、复赛）须报名和注册方能参赛，否则不具备参赛资格。请各设区市于2015年9月12日前将本地参赛选手名单报至省计算机学会办公室。复赛网上注册和报名流程详见NOI网站相关通知。</w:t>
      </w:r>
    </w:p>
    <w:p>
      <w:pPr>
        <w:widowControl/>
        <w:ind w:firstLine="640" w:firstLineChars="20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华文仿宋" w:eastAsia="黑体" w:cs="宋体"/>
          <w:kern w:val="0"/>
          <w:sz w:val="32"/>
          <w:szCs w:val="32"/>
        </w:rPr>
        <w:t>三、竞赛时间和地点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初赛时间为</w:t>
      </w:r>
      <w:r>
        <w:rPr>
          <w:rFonts w:hint="eastAsia" w:ascii="仿宋_GB2312" w:hAnsi="华文仿宋" w:eastAsia="仿宋_GB2312"/>
          <w:sz w:val="32"/>
          <w:szCs w:val="32"/>
        </w:rPr>
        <w:t>2015年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10月11日（星期日）14：30—16：30，竞赛地点由各设区市确定;复赛一试、二试将分别于11月7日（星期六）8:30-12:00、11月8日（星期日）8:30-12:00在福州</w:t>
      </w:r>
      <w:r>
        <w:rPr>
          <w:rFonts w:hint="eastAsia" w:ascii="仿宋_GB2312" w:hAnsi="华文仿宋" w:eastAsia="仿宋_GB2312"/>
          <w:sz w:val="32"/>
          <w:szCs w:val="32"/>
        </w:rPr>
        <w:t>举行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。具体事宜另行通知。</w:t>
      </w:r>
    </w:p>
    <w:p>
      <w:pPr>
        <w:widowControl/>
        <w:ind w:firstLine="640" w:firstLineChars="20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华文仿宋" w:eastAsia="黑体" w:cs="宋体"/>
          <w:kern w:val="0"/>
          <w:sz w:val="32"/>
          <w:szCs w:val="32"/>
        </w:rPr>
        <w:t>四、考务工作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1．初赛工作由各设区市科协、教育局具体负责组织实施。各设区市赛事承办单位请于10月8日—9日派专人到省计算机学会领取初赛试卷，并按规定严格做好试卷保密、</w:t>
      </w:r>
      <w:r>
        <w:rPr>
          <w:rFonts w:hint="eastAsia" w:ascii="仿宋_GB2312" w:eastAsia="仿宋_GB2312"/>
          <w:sz w:val="32"/>
          <w:szCs w:val="32"/>
        </w:rPr>
        <w:t>考点设置、考场巡视、组织评卷等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工作，</w:t>
      </w:r>
      <w:r>
        <w:rPr>
          <w:rFonts w:hint="eastAsia" w:ascii="仿宋_GB2312" w:eastAsia="仿宋_GB2312"/>
          <w:sz w:val="32"/>
          <w:szCs w:val="32"/>
        </w:rPr>
        <w:t>严肃竞赛纪律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2．复赛工作由省计算机学会统一组织。请设区市于</w:t>
      </w:r>
      <w:r>
        <w:rPr>
          <w:rFonts w:hint="eastAsia" w:ascii="仿宋_GB2312" w:hAnsi="华文仿宋" w:eastAsia="仿宋_GB2312"/>
          <w:sz w:val="32"/>
          <w:szCs w:val="32"/>
        </w:rPr>
        <w:t>10月16日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前将本地区所有初赛参赛选手的试卷、成绩册（含指导教师）和初赛总体情况报至省计算机学会。省计算机学会组织专家核查一定数量的初赛试卷，从高分到低分，根据各设区市参赛人数按比例（具体比例视初赛报名人数和复赛场地设备情况在初赛前通知）确定复赛入围者。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对获得2014年度FOI（福建省青少年信息学奥林匹克竞赛）普及工作先进单位和FOI2015夏令营成绩优秀学校给予奖励复赛名额（奖励名额详见附件1），获奖励名额的复赛选手必须从奖励学校（单位）的初赛人员中，按成绩从高分到低分确定，且成绩不低于全省入围复赛的最低分。</w:t>
      </w:r>
      <w:r>
        <w:rPr>
          <w:rFonts w:hint="eastAsia" w:ascii="仿宋_GB2312" w:eastAsia="仿宋_GB2312"/>
          <w:sz w:val="32"/>
          <w:szCs w:val="32"/>
        </w:rPr>
        <w:t>23个省级扶贫开发工作重点县各增加1个复赛名额（在该县未入围复赛的初赛选手中选取成绩最高者）。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复赛名单由省计算机学会报备省主办单位，以网上公布名单为准（网址：www.fj5461.org.cn）。</w:t>
      </w:r>
    </w:p>
    <w:p>
      <w:pPr>
        <w:widowControl/>
        <w:ind w:firstLine="579" w:firstLineChars="181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３．</w:t>
      </w:r>
      <w:r>
        <w:rPr>
          <w:rFonts w:hint="eastAsia" w:ascii="仿宋_GB2312" w:eastAsia="仿宋_GB2312"/>
          <w:sz w:val="32"/>
          <w:szCs w:val="32"/>
        </w:rPr>
        <w:t>2015年起，参加竞赛（初赛、复赛及省队选拔赛)的所有考生都必须携带考生身份证和准考证方能入场参加考试,未带“双证”者不得进入考场，学生证、户口本不能代替身份证。各设区市组织单位在报名时应告知指导老师和考生，并在初赛时严格执行本项规定。</w:t>
      </w:r>
    </w:p>
    <w:p>
      <w:pPr>
        <w:ind w:firstLine="640" w:firstLineChars="200"/>
        <w:rPr>
          <w:rFonts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 省队选拔：根据全国《</w:t>
      </w:r>
      <w:r>
        <w:rPr>
          <w:rFonts w:ascii="仿宋_GB2312" w:eastAsia="仿宋_GB2312"/>
          <w:sz w:val="32"/>
          <w:szCs w:val="32"/>
        </w:rPr>
        <w:t>CCF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ascii="仿宋_GB2312" w:eastAsia="仿宋_GB2312"/>
          <w:sz w:val="32"/>
          <w:szCs w:val="32"/>
        </w:rPr>
        <w:t xml:space="preserve"> NOI</w:t>
      </w:r>
      <w:r>
        <w:rPr>
          <w:rFonts w:hint="eastAsia" w:ascii="仿宋_GB2312" w:eastAsia="仿宋_GB2312"/>
          <w:sz w:val="32"/>
          <w:szCs w:val="32"/>
        </w:rPr>
        <w:t>省内选拔的若干规定（2015修订）》，参加省队选拔赛的学生为复赛成绩在全国基准分数线以上（含基准分数线）的选手。为选拔省队队员，将举行两次选拔赛。省队队员按照复赛（30%）、选拔赛一（30%）、选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拔赛二（40%）的综合成绩从高到低选取，先选A队队员（前4名男高中生和成绩最高女高中生），后选B队队员（人数待中国计算机学会通知）。如果综合成绩相同，按如下规定依次选取，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sym w:font="Wingdings" w:char="F081"/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 xml:space="preserve">复赛成绩高者优先； </w:t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sym w:font="Wingdings" w:char="F082"/>
      </w:r>
      <w:r>
        <w:rPr>
          <w:rFonts w:hint="eastAsia" w:ascii="仿宋_GB2312" w:hAnsi="华文仿宋" w:eastAsia="仿宋_GB2312" w:cs="宋体"/>
          <w:kern w:val="0"/>
          <w:sz w:val="32"/>
          <w:szCs w:val="32"/>
        </w:rPr>
        <w:t>高年级选手优先。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5．各组织单位要根据《全国五项学科竞赛条例》和《福建省中学生五项学科竞赛管理办法（试行）》，认真做好试卷的保管和保密、考点设置、考场巡视、组织评卷等竞赛工作，切实加强考场组织管理工作，严肃考场纪律。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6.各组织单位要高度重视参赛学生安全教育工作，做好安全工作预案，事先对学生进行交通安全、饮食卫生安全教育，并明确带队老师安全管理职责，确保竞赛工作安全顺利进行。</w:t>
      </w:r>
    </w:p>
    <w:p>
      <w:pPr>
        <w:widowControl/>
        <w:ind w:firstLine="640" w:firstLineChars="20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五、奖励办法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省计算机学会将根据省级复赛成绩拟定省一、二、三等奖获奖名单，报省科协、省教育厅审定，经网上公示7天无异议后（公示网址：www.fj5461.org.cn），由省教育厅、省科协联合发文公布并颁发获奖证书。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 xml:space="preserve">联系人：吴惠敏           电话/传真：0591-87894999 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邮  编：350002           电子邮箱:cfcs@fzu.edu.cn</w:t>
      </w:r>
    </w:p>
    <w:p>
      <w:pPr>
        <w:widowControl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地址：福州市工业路523号福州大学怡山校区办公楼229室省计算机学会办公室。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 </w:t>
      </w:r>
    </w:p>
    <w:p>
      <w:pPr>
        <w:ind w:firstLine="640" w:firstLineChars="200"/>
        <w:rPr>
          <w:rFonts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附件:</w:t>
      </w:r>
      <w:r>
        <w:rPr>
          <w:rFonts w:hint="eastAsia" w:ascii="仿宋_GB2312" w:hAnsi="华文仿宋" w:eastAsia="仿宋_GB2312"/>
          <w:sz w:val="32"/>
          <w:szCs w:val="32"/>
        </w:rPr>
        <w:t xml:space="preserve"> 1．2015年信息学联赛福建赛区竞赛复赛奖励名额</w:t>
      </w:r>
    </w:p>
    <w:p>
      <w:pPr>
        <w:jc w:val="left"/>
        <w:rPr>
          <w:rFonts w:ascii="仿宋_GB2312" w:hAnsi="华文仿宋" w:eastAsia="仿宋_GB2312"/>
          <w:sz w:val="32"/>
          <w:szCs w:val="32"/>
        </w:rPr>
      </w:pPr>
      <w:bookmarkStart w:id="0" w:name="OLE_LINK2"/>
      <w:r>
        <w:rPr>
          <w:rFonts w:hint="eastAsia" w:ascii="仿宋_GB2312" w:hAnsi="华文仿宋" w:eastAsia="仿宋_GB2312"/>
          <w:sz w:val="32"/>
          <w:szCs w:val="32"/>
        </w:rPr>
        <w:t xml:space="preserve">          2．2015年信息学联赛福建赛区竞赛报名表</w:t>
      </w:r>
    </w:p>
    <w:bookmarkEnd w:id="0"/>
    <w:p>
      <w:pPr>
        <w:ind w:firstLine="320" w:firstLineChars="100"/>
        <w:jc w:val="left"/>
        <w:rPr>
          <w:rFonts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 xml:space="preserve">        3．2015年信息学联赛福建赛区竞赛初赛成绩表 </w:t>
      </w:r>
    </w:p>
    <w:p>
      <w:pPr>
        <w:spacing w:line="560" w:lineRule="exact"/>
        <w:ind w:left="1118" w:leftChars="456" w:hanging="160" w:hangingChars="50"/>
        <w:rPr>
          <w:rFonts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   </w:t>
      </w:r>
    </w:p>
    <w:p>
      <w:pPr>
        <w:spacing w:line="560" w:lineRule="exact"/>
        <w:ind w:left="1118" w:leftChars="456" w:hanging="160" w:hangingChars="50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spacing w:line="560" w:lineRule="exact"/>
        <w:ind w:left="1118" w:leftChars="456" w:hanging="160" w:hangingChars="5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60" w:lineRule="exact"/>
        <w:ind w:firstLine="320" w:firstLineChars="100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福建省科学技术协会        福 建 省 教 育 厅</w:t>
      </w:r>
    </w:p>
    <w:p>
      <w:pPr>
        <w:widowControl/>
        <w:spacing w:line="56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 xml:space="preserve">                   </w:t>
      </w:r>
    </w:p>
    <w:p>
      <w:pPr>
        <w:widowControl/>
        <w:spacing w:line="56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hAnsi="华文仿宋" w:eastAsia="仿宋_GB2312" w:cs="宋体"/>
          <w:kern w:val="0"/>
          <w:sz w:val="32"/>
          <w:szCs w:val="32"/>
        </w:rPr>
        <w:t>2015年8月31日</w:t>
      </w: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p>
      <w:pPr>
        <w:widowControl/>
        <w:spacing w:line="580" w:lineRule="exact"/>
        <w:jc w:val="center"/>
        <w:rPr>
          <w:rFonts w:ascii="仿宋_GB2312" w:hAnsi="华文仿宋" w:eastAsia="仿宋_GB2312" w:cs="宋体"/>
          <w:kern w:val="0"/>
          <w:sz w:val="32"/>
          <w:szCs w:val="32"/>
        </w:rPr>
      </w:pPr>
    </w:p>
    <w:tbl>
      <w:tblPr>
        <w:tblStyle w:val="7"/>
        <w:tblpPr w:leftFromText="180" w:rightFromText="180" w:vertAnchor="text" w:horzAnchor="margin" w:tblpXSpec="left" w:tblpY="972"/>
        <w:tblW w:w="9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0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trHeight w:val="598" w:hRule="exact"/>
        </w:trPr>
        <w:tc>
          <w:tcPr>
            <w:tcW w:w="9060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top"/>
          </w:tcPr>
          <w:p>
            <w:pPr>
              <w:pBdr>
                <w:bottom w:val="single" w:color="auto" w:sz="6" w:space="1"/>
              </w:pBdr>
              <w:tabs>
                <w:tab w:val="center" w:pos="4153"/>
                <w:tab w:val="right" w:pos="8306"/>
              </w:tabs>
              <w:snapToGrid w:val="0"/>
              <w:spacing w:line="580" w:lineRule="exact"/>
              <w:ind w:firstLine="150" w:firstLineChars="50"/>
              <w:jc w:val="center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>福建省科学技术协会                   2015年8月 日印发</w:t>
            </w:r>
          </w:p>
        </w:tc>
      </w:tr>
    </w:tbl>
    <w:p>
      <w:pPr>
        <w:spacing w:line="580" w:lineRule="exac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ascii="仿宋_GB2312" w:hAnsi="华文仿宋" w:eastAsia="仿宋_GB2312" w:cs="宋体"/>
          <w:kern w:val="0"/>
          <w:sz w:val="32"/>
          <w:szCs w:val="32"/>
        </w:rPr>
        <w:br w:type="column"/>
      </w:r>
      <w:r>
        <w:rPr>
          <w:rFonts w:hint="eastAsia" w:ascii="黑体" w:hAnsi="宋体" w:eastAsia="黑体" w:cs="宋体"/>
          <w:kern w:val="0"/>
          <w:sz w:val="32"/>
          <w:szCs w:val="32"/>
        </w:rPr>
        <w:t>附件1</w:t>
      </w:r>
    </w:p>
    <w:p>
      <w:pPr>
        <w:spacing w:line="0" w:lineRule="atLeast"/>
        <w:rPr>
          <w:rFonts w:ascii="黑体" w:hAnsi="宋体" w:eastAsia="黑体" w:cs="宋体"/>
          <w:kern w:val="0"/>
          <w:sz w:val="28"/>
          <w:szCs w:val="28"/>
        </w:rPr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2015年信息学联赛福建赛区竞赛</w: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复赛奖励名额</w: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2014年度FOI普及工作先进单位奖励名额</w:t>
      </w:r>
    </w:p>
    <w:tbl>
      <w:tblPr>
        <w:tblStyle w:val="7"/>
        <w:tblW w:w="878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096"/>
        <w:gridCol w:w="26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09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先进单位名称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奖励名额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6096" w:type="dxa"/>
            <w:vAlign w:val="top"/>
          </w:tcPr>
          <w:p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FOI福建师范大学附属中学普及点</w:t>
            </w:r>
          </w:p>
        </w:tc>
        <w:tc>
          <w:tcPr>
            <w:tcW w:w="2693" w:type="dxa"/>
            <w:vAlign w:val="top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6名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096" w:type="dxa"/>
            <w:vAlign w:val="top"/>
          </w:tcPr>
          <w:p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FOI泉州第七中学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ab/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普及点</w:t>
            </w:r>
          </w:p>
        </w:tc>
        <w:tc>
          <w:tcPr>
            <w:tcW w:w="2693" w:type="dxa"/>
            <w:vAlign w:val="top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6名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6096" w:type="dxa"/>
            <w:vAlign w:val="top"/>
          </w:tcPr>
          <w:p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FOI福州第三中学普及点</w:t>
            </w:r>
          </w:p>
        </w:tc>
        <w:tc>
          <w:tcPr>
            <w:tcW w:w="2693" w:type="dxa"/>
            <w:vAlign w:val="top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6名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096" w:type="dxa"/>
            <w:vAlign w:val="top"/>
          </w:tcPr>
          <w:p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FOI泉州现代中学普及点</w:t>
            </w:r>
          </w:p>
        </w:tc>
        <w:tc>
          <w:tcPr>
            <w:tcW w:w="2693" w:type="dxa"/>
            <w:vAlign w:val="top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6名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6096" w:type="dxa"/>
            <w:vAlign w:val="top"/>
          </w:tcPr>
          <w:p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FOI福州第八中学普及点</w:t>
            </w:r>
          </w:p>
        </w:tc>
        <w:tc>
          <w:tcPr>
            <w:tcW w:w="2693" w:type="dxa"/>
            <w:vAlign w:val="top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4名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6096" w:type="dxa"/>
            <w:vAlign w:val="top"/>
          </w:tcPr>
          <w:p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FOI泉州第一中学</w:t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ab/>
            </w: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普及点</w:t>
            </w:r>
          </w:p>
        </w:tc>
        <w:tc>
          <w:tcPr>
            <w:tcW w:w="2693" w:type="dxa"/>
            <w:vAlign w:val="top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4名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c>
          <w:tcPr>
            <w:tcW w:w="6096" w:type="dxa"/>
            <w:vAlign w:val="top"/>
          </w:tcPr>
          <w:p>
            <w:pPr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FOI福州第一中学普及点</w:t>
            </w:r>
          </w:p>
        </w:tc>
        <w:tc>
          <w:tcPr>
            <w:tcW w:w="2693" w:type="dxa"/>
            <w:vAlign w:val="top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  <w:szCs w:val="32"/>
              </w:rPr>
              <w:t>2名</w:t>
            </w:r>
          </w:p>
        </w:tc>
      </w:tr>
    </w:tbl>
    <w:p>
      <w:pPr>
        <w:spacing w:line="0" w:lineRule="atLeast"/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0" w:lineRule="atLeast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spacing w:line="0" w:lineRule="atLeast"/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0" w:lineRule="atLeast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br w:type="page"/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FOI2015</w:t>
      </w:r>
      <w:r>
        <w:rPr>
          <w:rFonts w:hint="eastAsia" w:ascii="仿宋_GB2312" w:eastAsia="仿宋_GB2312"/>
          <w:sz w:val="32"/>
          <w:szCs w:val="32"/>
        </w:rPr>
        <w:t>夏令营优秀学校奖励名额</w:t>
      </w:r>
    </w:p>
    <w:tbl>
      <w:tblPr>
        <w:tblStyle w:val="7"/>
        <w:tblW w:w="8145" w:type="dxa"/>
        <w:jc w:val="center"/>
        <w:tblInd w:w="-16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110"/>
        <w:gridCol w:w="3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团体总分前十名的学校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学校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福州第三中学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福州第一中学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三明市第三中学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莆田一中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福州第十九中学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福州三中金山分校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安溪一中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福建师大附中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漳州一中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莆田擢英中学</w:t>
            </w:r>
          </w:p>
        </w:tc>
        <w:tc>
          <w:tcPr>
            <w:tcW w:w="30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4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夏令营参加人数前六名学校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福州第三中学</w:t>
            </w:r>
          </w:p>
        </w:tc>
        <w:tc>
          <w:tcPr>
            <w:tcW w:w="30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福州第一中学</w:t>
            </w:r>
          </w:p>
        </w:tc>
        <w:tc>
          <w:tcPr>
            <w:tcW w:w="30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漳州实验中学</w:t>
            </w:r>
          </w:p>
        </w:tc>
        <w:tc>
          <w:tcPr>
            <w:tcW w:w="30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三明市第二中学</w:t>
            </w:r>
          </w:p>
        </w:tc>
        <w:tc>
          <w:tcPr>
            <w:tcW w:w="30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莆田一中</w:t>
            </w:r>
          </w:p>
        </w:tc>
        <w:tc>
          <w:tcPr>
            <w:tcW w:w="30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110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福州第十九中学</w:t>
            </w:r>
          </w:p>
        </w:tc>
        <w:tc>
          <w:tcPr>
            <w:tcW w:w="303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1</w:t>
            </w:r>
          </w:p>
        </w:tc>
      </w:tr>
    </w:tbl>
    <w:p>
      <w:pPr>
        <w:sectPr>
          <w:footerReference r:id="rId4" w:type="default"/>
          <w:footerReference r:id="rId5" w:type="even"/>
          <w:pgSz w:w="11906" w:h="16838"/>
          <w:pgMar w:top="1871" w:right="1418" w:bottom="1871" w:left="1644" w:header="851" w:footer="992" w:gutter="0"/>
          <w:cols w:space="425" w:num="1"/>
          <w:docGrid w:type="lines" w:linePitch="312" w:charSpace="0"/>
        </w:sectPr>
      </w:pPr>
    </w:p>
    <w:p>
      <w:pPr>
        <w:spacing w:line="400" w:lineRule="exact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附件2</w:t>
      </w:r>
    </w:p>
    <w:p>
      <w:pPr>
        <w:spacing w:line="400" w:lineRule="exact"/>
        <w:jc w:val="center"/>
        <w:rPr>
          <w:rFonts w:ascii="方正小标宋简体" w:hAnsi="华文仿宋" w:eastAsia="方正小标宋简体"/>
          <w:sz w:val="44"/>
          <w:szCs w:val="44"/>
        </w:rPr>
      </w:pPr>
      <w:r>
        <w:rPr>
          <w:rFonts w:hint="eastAsia" w:ascii="方正小标宋简体" w:hAnsi="华文仿宋" w:eastAsia="方正小标宋简体"/>
          <w:sz w:val="44"/>
          <w:szCs w:val="44"/>
        </w:rPr>
        <w:t>CCF NOIP2015</w:t>
      </w:r>
      <w:r>
        <w:rPr>
          <w:rFonts w:hint="eastAsia" w:ascii="方正小标宋简体" w:hAnsi="宋体" w:eastAsia="方正小标宋简体" w:cs="宋体"/>
          <w:spacing w:val="-8"/>
          <w:kern w:val="0"/>
          <w:sz w:val="44"/>
          <w:szCs w:val="44"/>
        </w:rPr>
        <w:t>福建赛区初</w:t>
      </w:r>
      <w:r>
        <w:rPr>
          <w:rFonts w:hint="eastAsia" w:ascii="方正小标宋简体" w:hAnsi="华文仿宋" w:eastAsia="方正小标宋简体"/>
          <w:sz w:val="44"/>
          <w:szCs w:val="44"/>
        </w:rPr>
        <w:t>赛报名表</w:t>
      </w:r>
    </w:p>
    <w:p>
      <w:pPr>
        <w:spacing w:line="60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设区市：                                 </w:t>
      </w:r>
    </w:p>
    <w:tbl>
      <w:tblPr>
        <w:tblStyle w:val="7"/>
        <w:tblpPr w:leftFromText="180" w:rightFromText="180" w:vertAnchor="page" w:horzAnchor="margin" w:tblpXSpec="left" w:tblpY="2569"/>
        <w:tblW w:w="1319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24"/>
        <w:gridCol w:w="1418"/>
        <w:gridCol w:w="567"/>
        <w:gridCol w:w="3402"/>
        <w:gridCol w:w="567"/>
        <w:gridCol w:w="1134"/>
        <w:gridCol w:w="1559"/>
        <w:gridCol w:w="1984"/>
        <w:gridCol w:w="18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5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kern w:val="0"/>
                <w:sz w:val="24"/>
              </w:rPr>
              <w:t>学校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（全称）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kern w:val="0"/>
                <w:sz w:val="24"/>
              </w:rPr>
              <w:t>年级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kern w:val="0"/>
                <w:sz w:val="24"/>
              </w:rPr>
              <w:t>参赛语种</w:t>
            </w:r>
            <w:r>
              <w:rPr>
                <w:rFonts w:hint="eastAsia" w:ascii="仿宋_GB2312" w:hAnsi="宋体" w:eastAsia="仿宋_GB2312"/>
                <w:bCs/>
                <w:color w:val="000000"/>
                <w:kern w:val="0"/>
                <w:sz w:val="24"/>
              </w:rPr>
              <w:br/>
            </w:r>
            <w:r>
              <w:rPr>
                <w:rFonts w:hint="eastAsia" w:ascii="仿宋_GB2312" w:eastAsia="仿宋_GB2312"/>
                <w:bCs/>
                <w:color w:val="000000"/>
                <w:kern w:val="0"/>
                <w:sz w:val="24"/>
              </w:rPr>
              <w:t>pascal</w:t>
            </w:r>
            <w:r>
              <w:rPr>
                <w:rFonts w:hint="eastAsia" w:ascii="仿宋_GB2312" w:eastAsia="仿宋_GB2312"/>
                <w:bCs/>
                <w:color w:val="000000"/>
                <w:kern w:val="0"/>
                <w:sz w:val="24"/>
              </w:rPr>
              <w:br/>
            </w:r>
            <w:r>
              <w:rPr>
                <w:rFonts w:hint="eastAsia" w:ascii="仿宋_GB2312" w:eastAsia="仿宋_GB2312"/>
                <w:bCs/>
                <w:color w:val="000000"/>
                <w:kern w:val="0"/>
                <w:sz w:val="24"/>
              </w:rPr>
              <w:t>C</w:t>
            </w:r>
            <w:r>
              <w:rPr>
                <w:rFonts w:hint="eastAsia" w:ascii="仿宋_GB2312" w:eastAsia="仿宋_GB2312"/>
                <w:bCs/>
                <w:color w:val="000000"/>
                <w:kern w:val="0"/>
                <w:sz w:val="24"/>
              </w:rPr>
              <w:br/>
            </w:r>
            <w:r>
              <w:rPr>
                <w:rFonts w:hint="eastAsia" w:ascii="仿宋_GB2312" w:eastAsia="仿宋_GB2312"/>
                <w:bCs/>
                <w:color w:val="000000"/>
                <w:kern w:val="0"/>
                <w:sz w:val="24"/>
              </w:rPr>
              <w:t>C++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color w:val="000000"/>
                <w:kern w:val="0"/>
                <w:sz w:val="24"/>
              </w:rPr>
              <w:t>指导教师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kern w:val="0"/>
                <w:sz w:val="24"/>
              </w:rPr>
              <w:t>指导老师邮箱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000000"/>
                <w:kern w:val="0"/>
                <w:sz w:val="24"/>
              </w:rPr>
              <w:t>指导老师电话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spacing w:line="600" w:lineRule="exact"/>
        <w:ind w:firstLine="8850" w:firstLineChars="2950"/>
        <w:rPr>
          <w:rFonts w:ascii="仿宋_GB2312" w:eastAsia="仿宋_GB2312"/>
          <w:sz w:val="30"/>
          <w:szCs w:val="30"/>
        </w:rPr>
        <w:sectPr>
          <w:pgSz w:w="16838" w:h="11906" w:orient="landscape"/>
          <w:pgMar w:top="993" w:right="1928" w:bottom="1134" w:left="1701" w:header="964" w:footer="1070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30"/>
          <w:szCs w:val="30"/>
        </w:rPr>
        <w:t>第   页，共   页</w:t>
      </w:r>
    </w:p>
    <w:p>
      <w:pPr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附件3</w:t>
      </w:r>
    </w:p>
    <w:p>
      <w:pPr>
        <w:spacing w:line="600" w:lineRule="exact"/>
        <w:ind w:firstLine="440" w:firstLineChars="100"/>
        <w:jc w:val="center"/>
        <w:rPr>
          <w:rFonts w:ascii="方正小标宋简体" w:hAnsi="华文仿宋" w:eastAsia="方正小标宋简体"/>
          <w:sz w:val="44"/>
          <w:szCs w:val="44"/>
        </w:rPr>
      </w:pPr>
      <w:r>
        <w:rPr>
          <w:rFonts w:hint="eastAsia" w:ascii="方正小标宋简体" w:hAnsi="华文仿宋" w:eastAsia="方正小标宋简体"/>
          <w:sz w:val="44"/>
          <w:szCs w:val="44"/>
        </w:rPr>
        <w:t>CCF NOIP2015福建赛区初赛成绩表</w:t>
      </w:r>
    </w:p>
    <w:tbl>
      <w:tblPr>
        <w:tblStyle w:val="7"/>
        <w:tblW w:w="1408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800"/>
        <w:gridCol w:w="1120"/>
        <w:gridCol w:w="800"/>
        <w:gridCol w:w="1720"/>
        <w:gridCol w:w="800"/>
        <w:gridCol w:w="2176"/>
        <w:gridCol w:w="800"/>
        <w:gridCol w:w="1780"/>
        <w:gridCol w:w="2012"/>
        <w:gridCol w:w="20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088" w:hRule="atLeast"/>
        </w:trPr>
        <w:tc>
          <w:tcPr>
            <w:tcW w:w="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1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1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就读学校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（全称）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年级</w:t>
            </w:r>
          </w:p>
        </w:tc>
        <w:tc>
          <w:tcPr>
            <w:tcW w:w="21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参赛语种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>(Pascal/C/C++)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成绩</w:t>
            </w:r>
          </w:p>
        </w:tc>
        <w:tc>
          <w:tcPr>
            <w:tcW w:w="17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指导教师</w:t>
            </w:r>
          </w:p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(仅填一名)</w:t>
            </w:r>
          </w:p>
        </w:tc>
        <w:tc>
          <w:tcPr>
            <w:tcW w:w="201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指导教师邮箱</w:t>
            </w:r>
          </w:p>
        </w:tc>
        <w:tc>
          <w:tcPr>
            <w:tcW w:w="20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指导教师电话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85" w:hRule="atLeast"/>
        </w:trPr>
        <w:tc>
          <w:tcPr>
            <w:tcW w:w="80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1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1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</w:t>
            </w:r>
          </w:p>
        </w:tc>
      </w:tr>
    </w:tbl>
    <w:p>
      <w:r>
        <w:rPr>
          <w:rFonts w:hint="eastAsia" w:ascii="仿宋_GB2312" w:eastAsia="仿宋_GB2312"/>
          <w:sz w:val="30"/>
          <w:szCs w:val="30"/>
        </w:rPr>
        <w:t>（本表可复印）</w:t>
      </w:r>
    </w:p>
    <w:sectPr>
      <w:pgSz w:w="16838" w:h="11906" w:orient="landscape"/>
      <w:pgMar w:top="993" w:right="1440" w:bottom="141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="1702" w:wrap="around" w:vAnchor="text" w:hAnchor="margin" w:xAlign="outside" w:y="1"/>
      <w:jc w:val="center"/>
      <w:rPr>
        <w:rStyle w:val="5"/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 xml:space="preserve">— 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9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 xml:space="preserve"> 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493EBF"/>
    <w:rsid w:val="000456E7"/>
    <w:rsid w:val="000B1098"/>
    <w:rsid w:val="000B3BAC"/>
    <w:rsid w:val="000B59AF"/>
    <w:rsid w:val="00110819"/>
    <w:rsid w:val="001120D9"/>
    <w:rsid w:val="00121ED0"/>
    <w:rsid w:val="001407A5"/>
    <w:rsid w:val="00164480"/>
    <w:rsid w:val="00175353"/>
    <w:rsid w:val="00190079"/>
    <w:rsid w:val="001901DD"/>
    <w:rsid w:val="001B6A12"/>
    <w:rsid w:val="001C0B55"/>
    <w:rsid w:val="001C579B"/>
    <w:rsid w:val="001E75B8"/>
    <w:rsid w:val="00202018"/>
    <w:rsid w:val="00253ED3"/>
    <w:rsid w:val="00265171"/>
    <w:rsid w:val="002F5A70"/>
    <w:rsid w:val="00302E97"/>
    <w:rsid w:val="00380E19"/>
    <w:rsid w:val="003863E5"/>
    <w:rsid w:val="003A3F24"/>
    <w:rsid w:val="003B52A4"/>
    <w:rsid w:val="0040018F"/>
    <w:rsid w:val="00422790"/>
    <w:rsid w:val="004242B0"/>
    <w:rsid w:val="00451152"/>
    <w:rsid w:val="00483DE4"/>
    <w:rsid w:val="00493EBF"/>
    <w:rsid w:val="004E2217"/>
    <w:rsid w:val="00523D86"/>
    <w:rsid w:val="00567D5D"/>
    <w:rsid w:val="0057548B"/>
    <w:rsid w:val="005B1118"/>
    <w:rsid w:val="005C46C2"/>
    <w:rsid w:val="005C5A4B"/>
    <w:rsid w:val="00601239"/>
    <w:rsid w:val="006029B9"/>
    <w:rsid w:val="00633871"/>
    <w:rsid w:val="006359E5"/>
    <w:rsid w:val="00650474"/>
    <w:rsid w:val="0069289A"/>
    <w:rsid w:val="006E31E8"/>
    <w:rsid w:val="0071170D"/>
    <w:rsid w:val="0072463A"/>
    <w:rsid w:val="00765AE5"/>
    <w:rsid w:val="007B1989"/>
    <w:rsid w:val="007F5F74"/>
    <w:rsid w:val="00805B4A"/>
    <w:rsid w:val="008101FA"/>
    <w:rsid w:val="00831EAE"/>
    <w:rsid w:val="008421E5"/>
    <w:rsid w:val="00874E8E"/>
    <w:rsid w:val="0088156C"/>
    <w:rsid w:val="008A2C6A"/>
    <w:rsid w:val="008C119D"/>
    <w:rsid w:val="008E58D5"/>
    <w:rsid w:val="008E6AE1"/>
    <w:rsid w:val="00940333"/>
    <w:rsid w:val="00A3103A"/>
    <w:rsid w:val="00A313E0"/>
    <w:rsid w:val="00A367BD"/>
    <w:rsid w:val="00A37A2D"/>
    <w:rsid w:val="00A957D9"/>
    <w:rsid w:val="00AA7080"/>
    <w:rsid w:val="00AB020E"/>
    <w:rsid w:val="00B12EEA"/>
    <w:rsid w:val="00B73E59"/>
    <w:rsid w:val="00BE07D1"/>
    <w:rsid w:val="00BF5EF6"/>
    <w:rsid w:val="00C402C0"/>
    <w:rsid w:val="00C506CE"/>
    <w:rsid w:val="00C77210"/>
    <w:rsid w:val="00C92AB8"/>
    <w:rsid w:val="00C957FD"/>
    <w:rsid w:val="00CC6D87"/>
    <w:rsid w:val="00CD07DE"/>
    <w:rsid w:val="00CD7CCF"/>
    <w:rsid w:val="00CF03CA"/>
    <w:rsid w:val="00CF30A3"/>
    <w:rsid w:val="00D05CF9"/>
    <w:rsid w:val="00D11876"/>
    <w:rsid w:val="00D1320A"/>
    <w:rsid w:val="00D15F41"/>
    <w:rsid w:val="00D2010D"/>
    <w:rsid w:val="00D33C38"/>
    <w:rsid w:val="00D70642"/>
    <w:rsid w:val="00D72351"/>
    <w:rsid w:val="00DB276D"/>
    <w:rsid w:val="00E122A5"/>
    <w:rsid w:val="00E31605"/>
    <w:rsid w:val="00E3736B"/>
    <w:rsid w:val="00E65C0A"/>
    <w:rsid w:val="00E748AF"/>
    <w:rsid w:val="00EA7698"/>
    <w:rsid w:val="00EB503D"/>
    <w:rsid w:val="00EE2930"/>
    <w:rsid w:val="00EF3451"/>
    <w:rsid w:val="00F04725"/>
    <w:rsid w:val="00F23433"/>
    <w:rsid w:val="00F3017E"/>
    <w:rsid w:val="00F30391"/>
    <w:rsid w:val="00F477DC"/>
    <w:rsid w:val="00F50AF1"/>
    <w:rsid w:val="00F532B5"/>
    <w:rsid w:val="00F70E08"/>
    <w:rsid w:val="00F9311B"/>
    <w:rsid w:val="4AF3347D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/>
  </w:style>
  <w:style w:type="character" w:styleId="6">
    <w:name w:val="Hyperlink"/>
    <w:unhideWhenUsed/>
    <w:uiPriority w:val="99"/>
    <w:rPr>
      <w:color w:val="0000FF"/>
      <w:u w:val="single"/>
    </w:rPr>
  </w:style>
  <w:style w:type="table" w:styleId="8">
    <w:name w:val="Table Grid"/>
    <w:basedOn w:val="7"/>
    <w:unhideWhenUsed/>
    <w:uiPriority w:val="0"/>
    <w:pPr/>
    <w:rPr>
      <w:rFonts w:ascii="Times New Roman" w:hAnsi="Times New Roman"/>
    </w:rPr>
    <w:tblPr>
      <w:tblStyle w:val="7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character" w:customStyle="1" w:styleId="9">
    <w:name w:val="页脚 Char"/>
    <w:link w:val="2"/>
    <w:uiPriority w:val="0"/>
    <w:rPr>
      <w:rFonts w:ascii="Times New Roman" w:hAnsi="Times New Roman"/>
      <w:kern w:val="2"/>
      <w:sz w:val="18"/>
      <w:szCs w:val="18"/>
    </w:rPr>
  </w:style>
  <w:style w:type="character" w:customStyle="1" w:styleId="10">
    <w:name w:val="页眉 Char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484</Words>
  <Characters>2764</Characters>
  <Lines>23</Lines>
  <Paragraphs>6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2015-09-01T09:06:00Z</dcterms:created>
  <dc:creator>微软用户</dc:creator>
  <cp:lastModifiedBy>whm</cp:lastModifiedBy>
  <cp:lastPrinted>2015-08-27T07:49:00Z</cp:lastPrinted>
  <dcterms:modified xsi:type="dcterms:W3CDTF">2015-09-01T09:16:14Z</dcterms:modified>
  <dc:title>闽科协发〔2015〕146号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