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sz w:val="2"/>
          <w:szCs w:val="24"/>
        </w:rPr>
      </w:pPr>
      <w:bookmarkStart w:id="1" w:name="_GoBack"/>
      <w:bookmarkEnd w:id="1"/>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25" w:lineRule="exact"/>
              <w:jc w:val="center"/>
              <w:rPr>
                <w:rFonts w:hint="eastAsia" w:ascii="黑体" w:hAnsi="黑体" w:eastAsia="黑体"/>
                <w:sz w:val="30"/>
                <w:szCs w:val="24"/>
              </w:rPr>
            </w:pPr>
            <w:r>
              <w:rPr>
                <w:rFonts w:hint="eastAsia" w:ascii="方正小标宋简体" w:hAnsi="方正小标宋简体" w:eastAsia="方正小标宋简体"/>
                <w:sz w:val="44"/>
                <w:szCs w:val="24"/>
              </w:rPr>
              <w:t>2023年</w:t>
            </w:r>
            <w:r>
              <w:rPr>
                <w:rFonts w:hint="eastAsia" w:ascii="方正小标宋简体" w:hAnsi="方正小标宋简体" w:eastAsia="方正小标宋简体"/>
                <w:sz w:val="44"/>
                <w:szCs w:val="24"/>
                <w:lang w:eastAsia="zh-CN"/>
              </w:rPr>
              <w:t>厦门市科学技术协会（本级）</w:t>
            </w:r>
            <w:r>
              <w:rPr>
                <w:rFonts w:hint="eastAsia" w:ascii="方正小标宋简体" w:hAnsi="方正小标宋简体" w:eastAsia="方正小标宋简体"/>
                <w:sz w:val="44"/>
                <w:szCs w:val="24"/>
              </w:rPr>
              <w:t>预算说明</w:t>
            </w:r>
          </w:p>
          <w:p>
            <w:pPr>
              <w:spacing w:beforeLines="0" w:afterLines="0" w:line="525" w:lineRule="exact"/>
              <w:jc w:val="center"/>
              <w:rPr>
                <w:rFonts w:hint="eastAsia" w:ascii="黑体" w:hAnsi="黑体" w:eastAsia="黑体"/>
                <w:sz w:val="30"/>
                <w:szCs w:val="24"/>
              </w:rPr>
            </w:pPr>
          </w:p>
          <w:p>
            <w:pPr>
              <w:spacing w:beforeLines="0" w:afterLines="0" w:line="525" w:lineRule="exact"/>
              <w:jc w:val="center"/>
              <w:rPr>
                <w:rFonts w:hint="eastAsia" w:ascii="黑体" w:hAnsi="黑体" w:eastAsia="黑体"/>
                <w:sz w:val="32"/>
                <w:szCs w:val="24"/>
              </w:rPr>
            </w:pPr>
            <w:r>
              <w:rPr>
                <w:rFonts w:hint="eastAsia" w:ascii="黑体" w:hAnsi="黑体" w:eastAsia="黑体"/>
                <w:sz w:val="32"/>
                <w:szCs w:val="24"/>
              </w:rPr>
              <w:t>目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rPr>
                <w:rFonts w:hint="eastAsia" w:ascii="仿宋" w:hAnsi="仿宋" w:eastAsia="仿宋"/>
                <w:sz w:val="32"/>
                <w:szCs w:val="24"/>
              </w:rPr>
            </w:pPr>
            <w:r>
              <w:rPr>
                <w:rFonts w:hint="eastAsia" w:ascii="黑体" w:hAnsi="黑体" w:eastAsia="黑体"/>
                <w:sz w:val="32"/>
                <w:szCs w:val="24"/>
              </w:rPr>
              <w:t>　　第一部分   单位概况</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一、单位主要职责</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二、单位基本情况</w:t>
            </w:r>
          </w:p>
          <w:p>
            <w:pPr>
              <w:spacing w:beforeLines="0" w:afterLines="0" w:line="555" w:lineRule="exact"/>
              <w:rPr>
                <w:rFonts w:hint="eastAsia" w:ascii="黑体" w:hAnsi="黑体" w:eastAsia="黑体"/>
                <w:sz w:val="32"/>
                <w:szCs w:val="24"/>
              </w:rPr>
            </w:pPr>
            <w:r>
              <w:rPr>
                <w:rFonts w:hint="eastAsia" w:ascii="仿宋_GB2312" w:hAnsi="仿宋_GB2312" w:eastAsia="仿宋_GB2312"/>
                <w:sz w:val="32"/>
                <w:szCs w:val="24"/>
              </w:rPr>
              <w:t>　　三、单位主要工作任务</w:t>
            </w:r>
          </w:p>
          <w:p>
            <w:pPr>
              <w:spacing w:beforeLines="0" w:afterLines="0" w:line="555" w:lineRule="exact"/>
              <w:rPr>
                <w:rFonts w:hint="eastAsia" w:ascii="黑体" w:hAnsi="黑体" w:eastAsia="黑体"/>
                <w:sz w:val="32"/>
                <w:szCs w:val="24"/>
              </w:rPr>
            </w:pPr>
            <w:r>
              <w:rPr>
                <w:rFonts w:hint="eastAsia" w:ascii="黑体" w:hAnsi="黑体" w:eastAsia="黑体"/>
                <w:sz w:val="32"/>
                <w:szCs w:val="24"/>
              </w:rPr>
              <w:t>　　第二部分   2023年单位预算说明</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一、2023年单位预算收支总体情况</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二、一般公共预算财政拨款支出预算情况</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三、政府性基金预算财政拨款支出情况</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四、“三公”经费财政拨款预算情况</w:t>
            </w:r>
          </w:p>
          <w:p>
            <w:pPr>
              <w:spacing w:beforeLines="0" w:afterLines="0" w:line="555" w:lineRule="exact"/>
              <w:rPr>
                <w:rFonts w:hint="eastAsia" w:ascii="黑体" w:hAnsi="黑体" w:eastAsia="黑体"/>
                <w:sz w:val="32"/>
                <w:szCs w:val="24"/>
              </w:rPr>
            </w:pPr>
            <w:r>
              <w:rPr>
                <w:rFonts w:hint="eastAsia" w:ascii="仿宋_GB2312" w:hAnsi="仿宋_GB2312" w:eastAsia="仿宋_GB2312"/>
                <w:sz w:val="32"/>
                <w:szCs w:val="24"/>
              </w:rPr>
              <w:t>　　五、其他重要事项的情况说明</w:t>
            </w:r>
          </w:p>
          <w:p>
            <w:pPr>
              <w:spacing w:beforeLines="0" w:afterLines="0" w:line="555" w:lineRule="exact"/>
              <w:rPr>
                <w:rFonts w:hint="eastAsia" w:ascii="黑体" w:hAnsi="黑体" w:eastAsia="黑体"/>
                <w:sz w:val="32"/>
                <w:szCs w:val="24"/>
              </w:rPr>
            </w:pPr>
            <w:r>
              <w:rPr>
                <w:rFonts w:hint="eastAsia" w:ascii="黑体" w:hAnsi="黑体" w:eastAsia="黑体"/>
                <w:sz w:val="32"/>
                <w:szCs w:val="24"/>
              </w:rPr>
              <w:t>　　第三部分   名词解释</w:t>
            </w:r>
          </w:p>
          <w:p>
            <w:pPr>
              <w:spacing w:beforeLines="0" w:afterLines="0" w:line="555" w:lineRule="exact"/>
              <w:rPr>
                <w:rFonts w:hint="eastAsia" w:ascii="黑体" w:hAnsi="黑体" w:eastAsia="黑体"/>
                <w:sz w:val="32"/>
                <w:szCs w:val="24"/>
              </w:rPr>
            </w:pPr>
            <w:r>
              <w:rPr>
                <w:rFonts w:hint="eastAsia" w:ascii="黑体" w:hAnsi="黑体" w:eastAsia="黑体"/>
                <w:sz w:val="32"/>
                <w:szCs w:val="24"/>
              </w:rPr>
              <w:t>　　第四部分   2023年单位预算附表</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五、 一般公共预算支出情况表</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六、一般公共预算基本支出情况表（经济分类款级科目）</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九、市对区转移支付支出预算表</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十、二级项目绩效目标表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第一部分  单位概况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仿宋_GB2312" w:hAnsi="仿宋_GB2312" w:eastAsia="仿宋_GB2312"/>
                <w:b/>
                <w:sz w:val="32"/>
                <w:szCs w:val="24"/>
              </w:rPr>
              <w:t>一、单位主要职责</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厦门市科学技术协会（以下简称：市科协</w:t>
            </w:r>
            <w:r>
              <w:rPr>
                <w:rFonts w:hint="eastAsia" w:ascii="仿宋_GB2312" w:hAnsi="仿宋_GB2312" w:eastAsia="仿宋_GB2312"/>
                <w:sz w:val="32"/>
                <w:szCs w:val="24"/>
                <w:lang w:eastAsia="zh-CN"/>
              </w:rPr>
              <w:t>本级</w:t>
            </w:r>
            <w:r>
              <w:rPr>
                <w:rFonts w:hint="eastAsia" w:ascii="仿宋_GB2312" w:hAnsi="仿宋_GB2312" w:eastAsia="仿宋_GB2312"/>
                <w:sz w:val="32"/>
                <w:szCs w:val="24"/>
              </w:rPr>
              <w:t>）的主要职</w:t>
            </w:r>
            <w:r>
              <w:rPr>
                <w:rFonts w:hint="eastAsia" w:ascii="仿宋_GB2312" w:hAnsi="仿宋_GB2312" w:eastAsia="仿宋_GB2312"/>
                <w:sz w:val="32"/>
                <w:szCs w:val="24"/>
                <w:lang w:eastAsia="zh-CN"/>
              </w:rPr>
              <w:t>责</w:t>
            </w:r>
            <w:r>
              <w:rPr>
                <w:rFonts w:hint="eastAsia" w:ascii="仿宋_GB2312" w:hAnsi="仿宋_GB2312" w:eastAsia="仿宋_GB2312"/>
                <w:sz w:val="32"/>
                <w:szCs w:val="24"/>
              </w:rPr>
              <w:t>是：</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（1）加强对科技工作者的政治引领，宣传党的路线方针政策，引导科技工作者践行社会主义核心价值观。</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（2）反映科技工作者的建议、意见和诉求，维护科技工作者的合法权益，建设科技工作者之家。</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（3）促进科学道德建设和学风建设，培育科学文化，宣传优秀科技工作者，举荐科技人才。</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（4）服务创新驱动发展，推动产学研用平台建设。</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（5）组织科技工作者参与科技决策咨询和政治协商。</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（6）组织所属学会有序承接政府委托工作和转移职能，开展学术交流，促进学科学会发展。</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（7）协调实施《全民科学素质行动计划纲要》，提高公民科学素质。</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（8）组织开展科学普及工作，指导科普阵地建设、科普人才队伍建设和社会化科普资源开发开放。</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（9）开展民间港澳台及国际科学技术交流与合作，发展同国(境)外科技社团和科技工作者的友好交往。</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（10）完成市委、市政府交办的其他事项。</w:t>
            </w:r>
          </w:p>
          <w:p>
            <w:pPr>
              <w:spacing w:beforeLines="0" w:afterLines="0" w:line="555" w:lineRule="exact"/>
              <w:rPr>
                <w:rFonts w:hint="eastAsia" w:ascii="仿宋_GB2312" w:hAnsi="仿宋_GB2312" w:eastAsia="仿宋_GB2312"/>
                <w:b/>
                <w:sz w:val="32"/>
                <w:szCs w:val="24"/>
              </w:rPr>
            </w:pPr>
            <w:r>
              <w:rPr>
                <w:rFonts w:hint="eastAsia" w:ascii="仿宋_GB2312" w:hAnsi="仿宋_GB2312" w:eastAsia="仿宋_GB2312"/>
                <w:sz w:val="32"/>
                <w:szCs w:val="24"/>
              </w:rPr>
              <w:t>　　</w:t>
            </w:r>
            <w:r>
              <w:rPr>
                <w:rFonts w:hint="eastAsia" w:ascii="仿宋_GB2312" w:hAnsi="仿宋_GB2312" w:eastAsia="仿宋_GB2312"/>
                <w:b/>
                <w:sz w:val="32"/>
                <w:szCs w:val="24"/>
              </w:rPr>
              <w:t>二、单位基本情况</w:t>
            </w:r>
          </w:p>
          <w:p>
            <w:pPr>
              <w:pStyle w:val="2"/>
              <w:spacing w:beforeLines="0" w:afterLines="0"/>
              <w:ind w:firstLine="640" w:firstLineChars="200"/>
              <w:rPr>
                <w:rFonts w:hint="eastAsia"/>
                <w:sz w:val="24"/>
                <w:szCs w:val="24"/>
                <w:lang w:val="en-US"/>
              </w:rPr>
            </w:pPr>
            <w:r>
              <w:rPr>
                <w:rFonts w:hint="eastAsia" w:ascii="仿宋_GB2312" w:hAnsi="仿宋_GB2312" w:eastAsia="仿宋_GB2312"/>
                <w:sz w:val="32"/>
                <w:szCs w:val="24"/>
              </w:rPr>
              <w:t>厦门市科学技术协会</w:t>
            </w:r>
            <w:r>
              <w:rPr>
                <w:rFonts w:hint="eastAsia" w:ascii="仿宋_GB2312" w:hAnsi="仿宋_GB2312" w:eastAsia="仿宋_GB2312"/>
                <w:sz w:val="32"/>
                <w:szCs w:val="24"/>
                <w:lang w:eastAsia="zh-CN"/>
              </w:rPr>
              <w:t>本级</w:t>
            </w:r>
            <w:r>
              <w:rPr>
                <w:rFonts w:hint="eastAsia" w:ascii="仿宋_GB2312" w:hAnsi="仿宋_GB2312" w:eastAsia="仿宋_GB2312"/>
                <w:sz w:val="32"/>
                <w:szCs w:val="24"/>
              </w:rPr>
              <w:t>包括4个机关行政处室</w:t>
            </w:r>
            <w:r>
              <w:rPr>
                <w:rFonts w:hint="eastAsia" w:ascii="仿宋_GB2312" w:hAnsi="仿宋_GB2312" w:eastAsia="仿宋_GB2312"/>
                <w:sz w:val="32"/>
                <w:szCs w:val="24"/>
                <w:lang w:eastAsia="zh-CN"/>
              </w:rPr>
              <w:t>，人员编制数</w:t>
            </w:r>
            <w:r>
              <w:rPr>
                <w:rFonts w:hint="eastAsia" w:ascii="仿宋_GB2312" w:hAnsi="仿宋_GB2312" w:eastAsia="仿宋_GB2312"/>
                <w:sz w:val="32"/>
                <w:szCs w:val="24"/>
                <w:lang w:val="en-US" w:eastAsia="zh-CN"/>
              </w:rPr>
              <w:t>20人，在职人数20人。</w:t>
            </w:r>
          </w:p>
          <w:p>
            <w:pPr>
              <w:pStyle w:val="2"/>
              <w:spacing w:beforeLines="0" w:afterLines="0"/>
              <w:rPr>
                <w:rFonts w:hint="eastAsia"/>
                <w:sz w:val="24"/>
                <w:szCs w:val="24"/>
              </w:rPr>
            </w:pPr>
          </w:p>
          <w:p>
            <w:pPr>
              <w:spacing w:beforeLines="0" w:afterLines="0" w:line="555" w:lineRule="exact"/>
              <w:rPr>
                <w:rFonts w:hint="eastAsia" w:ascii="仿宋_GB2312" w:hAnsi="仿宋_GB2312" w:eastAsia="仿宋_GB2312"/>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rPr>
                <w:rFonts w:hint="eastAsia" w:ascii="仿宋_GB2312" w:hAnsi="仿宋_GB2312" w:eastAsia="仿宋_GB2312"/>
                <w:b/>
                <w:sz w:val="32"/>
                <w:szCs w:val="24"/>
              </w:rPr>
            </w:pPr>
            <w:r>
              <w:rPr>
                <w:rFonts w:hint="eastAsia" w:ascii="仿宋_GB2312" w:hAnsi="仿宋_GB2312" w:eastAsia="仿宋_GB2312"/>
                <w:sz w:val="32"/>
                <w:szCs w:val="24"/>
              </w:rPr>
              <w:t>　　</w:t>
            </w:r>
            <w:r>
              <w:rPr>
                <w:rFonts w:hint="eastAsia" w:ascii="仿宋_GB2312" w:hAnsi="仿宋_GB2312" w:eastAsia="仿宋_GB2312"/>
                <w:b/>
                <w:sz w:val="32"/>
                <w:szCs w:val="24"/>
              </w:rPr>
              <w:t>三、单位主要工作任务</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202</w:t>
            </w:r>
            <w:r>
              <w:rPr>
                <w:rFonts w:hint="eastAsia" w:ascii="仿宋_GB2312" w:hAnsi="仿宋_GB2312" w:eastAsia="仿宋_GB2312"/>
                <w:sz w:val="32"/>
                <w:szCs w:val="24"/>
                <w:lang w:val="en-US" w:eastAsia="zh-CN"/>
              </w:rPr>
              <w:t>3</w:t>
            </w:r>
            <w:r>
              <w:rPr>
                <w:rFonts w:hint="eastAsia" w:ascii="仿宋_GB2312" w:hAnsi="仿宋_GB2312" w:eastAsia="仿宋_GB2312"/>
                <w:sz w:val="32"/>
                <w:szCs w:val="24"/>
              </w:rPr>
              <w:t>年厦门市科协</w:t>
            </w:r>
            <w:r>
              <w:rPr>
                <w:rFonts w:hint="eastAsia" w:ascii="仿宋_GB2312" w:hAnsi="仿宋_GB2312" w:eastAsia="仿宋_GB2312"/>
                <w:sz w:val="32"/>
                <w:szCs w:val="24"/>
                <w:lang w:eastAsia="zh-CN"/>
              </w:rPr>
              <w:t>本级</w:t>
            </w:r>
            <w:r>
              <w:rPr>
                <w:rFonts w:hint="eastAsia" w:ascii="仿宋_GB2312" w:hAnsi="仿宋_GB2312" w:eastAsia="仿宋_GB2312"/>
                <w:sz w:val="32"/>
                <w:szCs w:val="24"/>
              </w:rPr>
              <w:t>的工作任务是：</w:t>
            </w:r>
            <w:r>
              <w:rPr>
                <w:rFonts w:hint="eastAsia" w:ascii="仿宋_GB2312" w:hAnsi="仿宋_GB2312" w:eastAsia="仿宋_GB2312"/>
                <w:sz w:val="32"/>
                <w:szCs w:val="24"/>
                <w:lang w:eastAsia="zh-CN"/>
              </w:rPr>
              <w:t>以习近平新时代中国特色社会主义思想为指导，认真学习贯彻党的二十大精神，紧密围绕市委市政府中心任务，立足“四服务”职责定位，坚持“四个面向”，守正创新、踔厉奋发、勇毅前行，为更高水平建设高素质高颜值现代化国际化城市贡献科协力量。</w:t>
            </w:r>
            <w:r>
              <w:rPr>
                <w:rFonts w:hint="eastAsia" w:ascii="仿宋_GB2312" w:hAnsi="仿宋_GB2312" w:eastAsia="仿宋_GB2312"/>
                <w:sz w:val="32"/>
                <w:szCs w:val="24"/>
              </w:rPr>
              <w:t>围绕上述任务，重点抓好以下工作：</w:t>
            </w:r>
          </w:p>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（一）深入学习贯彻习近平新时代中国特色社会主义思想，深入学习贯彻</w:t>
            </w:r>
            <w:r>
              <w:rPr>
                <w:rFonts w:hint="eastAsia" w:ascii="仿宋_GB2312" w:hAnsi="仿宋_GB2312" w:eastAsia="仿宋_GB2312"/>
                <w:sz w:val="32"/>
                <w:szCs w:val="24"/>
                <w:lang w:eastAsia="zh-CN"/>
              </w:rPr>
              <w:t>二十大精神，举办</w:t>
            </w:r>
            <w:r>
              <w:rPr>
                <w:rFonts w:hint="eastAsia" w:ascii="仿宋_GB2312" w:hAnsi="仿宋_GB2312" w:eastAsia="仿宋_GB2312"/>
                <w:sz w:val="32"/>
                <w:szCs w:val="24"/>
                <w:lang w:val="en-US" w:eastAsia="zh-CN"/>
              </w:rPr>
              <w:t>2023年”全国科技工作者日”，弘扬科学家精神；</w:t>
            </w:r>
            <w:r>
              <w:rPr>
                <w:rFonts w:hint="eastAsia" w:ascii="仿宋_GB2312" w:hAnsi="仿宋_GB2312" w:eastAsia="仿宋_GB2312"/>
                <w:sz w:val="32"/>
                <w:szCs w:val="24"/>
                <w:lang w:eastAsia="zh-CN"/>
              </w:rPr>
              <w:t>编撰《致敬！厦门科技工作者》丛书，宣传厦门优秀科技工作者感人事迹，彰显榜样力量。</w:t>
            </w:r>
          </w:p>
          <w:p>
            <w:pPr>
              <w:spacing w:beforeLines="0" w:afterLines="0" w:line="555"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rPr>
              <w:t>（二）强化院士专家工作站建设</w:t>
            </w:r>
            <w:r>
              <w:rPr>
                <w:rFonts w:hint="eastAsia" w:ascii="仿宋_GB2312" w:hAnsi="仿宋_GB2312" w:eastAsia="仿宋_GB2312"/>
                <w:sz w:val="32"/>
                <w:szCs w:val="24"/>
                <w:lang w:eastAsia="zh-CN"/>
              </w:rPr>
              <w:t>。聚焦“</w:t>
            </w:r>
            <w:r>
              <w:rPr>
                <w:rFonts w:hint="eastAsia" w:ascii="仿宋_GB2312" w:hAnsi="仿宋_GB2312" w:eastAsia="仿宋_GB2312"/>
                <w:sz w:val="32"/>
                <w:szCs w:val="24"/>
                <w:lang w:val="en-US" w:eastAsia="zh-CN"/>
              </w:rPr>
              <w:t>4+4+6”产业布局，</w:t>
            </w:r>
            <w:r>
              <w:rPr>
                <w:rFonts w:hint="eastAsia" w:ascii="仿宋_GB2312" w:hAnsi="仿宋_GB2312" w:eastAsia="仿宋_GB2312"/>
                <w:sz w:val="32"/>
                <w:szCs w:val="24"/>
                <w:lang w:eastAsia="zh-CN"/>
              </w:rPr>
              <w:t>引导和加强我市重点产业和高新技术领域开展院士专家工作站建设，</w:t>
            </w:r>
            <w:r>
              <w:rPr>
                <w:rFonts w:hint="eastAsia" w:ascii="仿宋_GB2312" w:hAnsi="仿宋_GB2312" w:eastAsia="仿宋_GB2312"/>
                <w:sz w:val="32"/>
                <w:szCs w:val="24"/>
                <w:lang w:val="en-US" w:eastAsia="zh-CN"/>
              </w:rPr>
              <w:t>进一步发挥“院士专家八闽行”和全国学术论坛的载体功能，拓宽高端人才的柔性引进渠道，为我市招才引智提供支撑。</w:t>
            </w:r>
          </w:p>
          <w:p>
            <w:pPr>
              <w:spacing w:beforeLines="0" w:afterLines="0" w:line="555"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三）繁荣学术学会活动，推动学会服务政府职能。举办2023年市科协年会主会场，面向市级学会同步征集“2023年厦门市科协年会分会场”项目。评选2023年度重点学会学术活动，对入选重点活动予以资金补助；继续开展2023年市科协重点调研课题征集活动</w:t>
            </w:r>
            <w:r>
              <w:rPr>
                <w:rFonts w:hint="eastAsia" w:ascii="仿宋_GB2312" w:hAnsi="仿宋_GB2312" w:eastAsia="仿宋_GB2312"/>
                <w:sz w:val="32"/>
                <w:szCs w:val="24"/>
              </w:rPr>
              <w:t>研究，提出</w:t>
            </w:r>
            <w:r>
              <w:rPr>
                <w:rFonts w:hint="eastAsia" w:ascii="仿宋_GB2312" w:hAnsi="仿宋_GB2312" w:eastAsia="仿宋_GB2312"/>
                <w:sz w:val="32"/>
                <w:szCs w:val="24"/>
                <w:lang w:eastAsia="zh-CN"/>
              </w:rPr>
              <w:t>有</w:t>
            </w:r>
            <w:r>
              <w:rPr>
                <w:rFonts w:hint="eastAsia" w:ascii="仿宋_GB2312" w:hAnsi="仿宋_GB2312" w:eastAsia="仿宋_GB2312"/>
                <w:sz w:val="32"/>
                <w:szCs w:val="24"/>
              </w:rPr>
              <w:t>应用价值</w:t>
            </w:r>
            <w:r>
              <w:rPr>
                <w:rFonts w:hint="eastAsia" w:ascii="仿宋_GB2312" w:hAnsi="仿宋_GB2312" w:eastAsia="仿宋_GB2312"/>
                <w:sz w:val="32"/>
                <w:szCs w:val="24"/>
                <w:lang w:eastAsia="zh-CN"/>
              </w:rPr>
              <w:t>的</w:t>
            </w:r>
            <w:r>
              <w:rPr>
                <w:rFonts w:hint="eastAsia" w:ascii="仿宋_GB2312" w:hAnsi="仿宋_GB2312" w:eastAsia="仿宋_GB2312"/>
                <w:sz w:val="32"/>
                <w:szCs w:val="24"/>
              </w:rPr>
              <w:t>意见和方案。</w:t>
            </w:r>
          </w:p>
          <w:p>
            <w:pPr>
              <w:spacing w:beforeLines="0" w:afterLines="0" w:line="555"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（四）优化科普外部环境，完善科普阵地管理。深入实施《全民科学素质行动计划纲要》和</w:t>
            </w:r>
            <w:bookmarkStart w:id="0" w:name="_Hlk119837024"/>
            <w:r>
              <w:rPr>
                <w:rFonts w:hint="eastAsia" w:ascii="仿宋_GB2312" w:hAnsi="仿宋_GB2312" w:eastAsia="仿宋_GB2312"/>
                <w:sz w:val="32"/>
                <w:szCs w:val="24"/>
                <w:lang w:val="en-US" w:eastAsia="zh-CN"/>
              </w:rPr>
              <w:t>《关于新时代进一步加强科学技术普及工作的意见》</w:t>
            </w:r>
            <w:bookmarkEnd w:id="0"/>
            <w:r>
              <w:rPr>
                <w:rFonts w:hint="eastAsia" w:ascii="仿宋_GB2312" w:hAnsi="仿宋_GB2312" w:eastAsia="仿宋_GB2312"/>
                <w:sz w:val="32"/>
                <w:szCs w:val="24"/>
                <w:lang w:val="en-US" w:eastAsia="zh-CN"/>
              </w:rPr>
              <w:t>，推动《厦门市科学技术普及条例》立法，修订《厦门市科协科普工作经费补助管理办法》。持续推进厦门海洋科技博物馆和厦门苏颂天文馆的建设，开发“线上科技馆”。</w:t>
            </w:r>
          </w:p>
          <w:p>
            <w:pPr>
              <w:spacing w:beforeLines="0" w:afterLines="0" w:line="555"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五）做活做优科普服务，打造厦门特色科普品牌。建设科普（教育）基地评估管理系统，积极推介我市优质科普研学资源。组织开展“全国科普日”等群众性科普活动，因地制宜打造“一区一品”科普品牌，构建“大联合大协作”的科普格局。规范青少年科技活动管理机制，打造青少年科技教育精品项目，促进校内外优质科技教育资源整合共享，持续创建具有厦门特色的“科普研学”品牌，打造最具影响力的“科普研学”目的地城市。</w:t>
            </w:r>
          </w:p>
          <w:p>
            <w:pPr>
              <w:spacing w:beforeLines="0" w:afterLines="0" w:line="555"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六）加强自身建设，不断提升机关效能，提升科协组织履职能力。发扬务实创新的工作作风，强化机关服务意识，切实履行科协职责，落实“提高效率、提升效能、提增效益”行动。打造“科技工作者之家”，积极履行“四服务”，团结引领广大科技工作者服务发展大局。</w:t>
            </w:r>
          </w:p>
          <w:p>
            <w:pPr>
              <w:spacing w:beforeLines="0" w:afterLines="0" w:line="555" w:lineRule="exact"/>
              <w:rPr>
                <w:rFonts w:hint="eastAsia" w:ascii="仿宋_GB2312" w:hAnsi="仿宋_GB2312" w:eastAsia="仿宋_GB2312"/>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第二部分  2023年单位预算说明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一、2023年单位预算收支总体情况</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根据预算管理的有关规定，单位的全部收入和支出均纳入部门预算管理。</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（一）2023年收入预算为</w:t>
            </w:r>
            <w:r>
              <w:rPr>
                <w:rFonts w:hint="eastAsia" w:ascii="仿宋_GB2312" w:hAnsi="仿宋_GB2312" w:eastAsia="仿宋_GB2312"/>
                <w:sz w:val="32"/>
                <w:szCs w:val="24"/>
                <w:lang w:val="en-US" w:eastAsia="zh-CN"/>
              </w:rPr>
              <w:t>2898.17</w:t>
            </w:r>
            <w:r>
              <w:rPr>
                <w:rFonts w:hint="eastAsia" w:ascii="仿宋_GB2312" w:hAnsi="仿宋_GB2312" w:eastAsia="仿宋_GB2312"/>
                <w:sz w:val="32"/>
                <w:szCs w:val="24"/>
              </w:rPr>
              <w:t>万元，比2022年预算数</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122.66</w:t>
            </w:r>
            <w:r>
              <w:rPr>
                <w:rFonts w:hint="eastAsia" w:ascii="仿宋_GB2312" w:hAnsi="仿宋_GB2312" w:eastAsia="仿宋_GB2312"/>
                <w:sz w:val="32"/>
                <w:szCs w:val="24"/>
              </w:rPr>
              <w:t>万元，</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4.06</w:t>
            </w:r>
            <w:r>
              <w:rPr>
                <w:rFonts w:hint="eastAsia" w:ascii="仿宋_GB2312" w:hAnsi="仿宋_GB2312" w:eastAsia="仿宋_GB2312"/>
                <w:sz w:val="32"/>
                <w:szCs w:val="24"/>
              </w:rPr>
              <w:t>％，具体情况如下：</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1.财政拨款收入</w:t>
            </w:r>
            <w:r>
              <w:rPr>
                <w:rFonts w:hint="eastAsia" w:ascii="仿宋_GB2312" w:hAnsi="仿宋_GB2312" w:eastAsia="仿宋_GB2312"/>
                <w:sz w:val="32"/>
                <w:szCs w:val="24"/>
                <w:lang w:val="en-US" w:eastAsia="zh-CN"/>
              </w:rPr>
              <w:t>2898.17</w:t>
            </w:r>
            <w:r>
              <w:rPr>
                <w:rFonts w:hint="eastAsia" w:ascii="仿宋_GB2312" w:hAnsi="仿宋_GB2312" w:eastAsia="仿宋_GB2312"/>
                <w:sz w:val="32"/>
                <w:szCs w:val="24"/>
              </w:rPr>
              <w:t>万元，其中一般公共预算拨款收入</w:t>
            </w:r>
            <w:r>
              <w:rPr>
                <w:rFonts w:hint="eastAsia" w:ascii="仿宋_GB2312" w:hAnsi="仿宋_GB2312" w:eastAsia="仿宋_GB2312"/>
                <w:sz w:val="32"/>
                <w:szCs w:val="24"/>
                <w:lang w:val="en-US" w:eastAsia="zh-CN"/>
              </w:rPr>
              <w:t>2898.17</w:t>
            </w:r>
            <w:r>
              <w:rPr>
                <w:rFonts w:hint="eastAsia" w:ascii="仿宋_GB2312" w:hAnsi="仿宋_GB2312" w:eastAsia="仿宋_GB2312"/>
                <w:sz w:val="32"/>
                <w:szCs w:val="24"/>
              </w:rPr>
              <w:t>万元，政府性基金拨款收入</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万元，国有资本经营预算拨款收入</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2.财政专户管理资金收入</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3.事业收入</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4.事业单位经营收入</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5.上级补助收入</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6.附属单位上缴收入</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7.其他收入</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8.上年结转结余</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（二）2023年支出预算为</w:t>
            </w:r>
            <w:r>
              <w:rPr>
                <w:rFonts w:hint="eastAsia" w:ascii="仿宋_GB2312" w:hAnsi="仿宋_GB2312" w:eastAsia="仿宋_GB2312"/>
                <w:sz w:val="32"/>
                <w:szCs w:val="24"/>
                <w:lang w:val="en-US" w:eastAsia="zh-CN"/>
              </w:rPr>
              <w:t>2898.17</w:t>
            </w:r>
            <w:r>
              <w:rPr>
                <w:rFonts w:hint="eastAsia" w:ascii="仿宋_GB2312" w:hAnsi="仿宋_GB2312" w:eastAsia="仿宋_GB2312"/>
                <w:sz w:val="32"/>
                <w:szCs w:val="24"/>
              </w:rPr>
              <w:t>万元（不含市对区转移支付项目），比2022年预算数</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122.66</w:t>
            </w:r>
            <w:r>
              <w:rPr>
                <w:rFonts w:hint="eastAsia" w:ascii="仿宋_GB2312" w:hAnsi="仿宋_GB2312" w:eastAsia="仿宋_GB2312"/>
                <w:sz w:val="32"/>
                <w:szCs w:val="24"/>
              </w:rPr>
              <w:t>万元，</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4.06</w:t>
            </w:r>
            <w:r>
              <w:rPr>
                <w:rFonts w:hint="eastAsia" w:ascii="仿宋_GB2312" w:hAnsi="仿宋_GB2312" w:eastAsia="仿宋_GB2312"/>
                <w:sz w:val="32"/>
                <w:szCs w:val="24"/>
              </w:rPr>
              <w:t>％，具体情况如下：</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1.基本支出</w:t>
            </w:r>
            <w:r>
              <w:rPr>
                <w:rFonts w:hint="eastAsia" w:ascii="仿宋_GB2312" w:hAnsi="仿宋_GB2312" w:eastAsia="仿宋_GB2312"/>
                <w:sz w:val="32"/>
                <w:szCs w:val="24"/>
                <w:lang w:val="en-US" w:eastAsia="zh-CN"/>
              </w:rPr>
              <w:t>1166.87</w:t>
            </w:r>
            <w:r>
              <w:rPr>
                <w:rFonts w:hint="eastAsia" w:ascii="仿宋_GB2312" w:hAnsi="仿宋_GB2312" w:eastAsia="仿宋_GB2312"/>
                <w:sz w:val="32"/>
                <w:szCs w:val="24"/>
              </w:rPr>
              <w:t>万元，其中，人员支出</w:t>
            </w:r>
            <w:r>
              <w:rPr>
                <w:rFonts w:hint="eastAsia" w:ascii="仿宋_GB2312" w:hAnsi="仿宋_GB2312" w:eastAsia="仿宋_GB2312"/>
                <w:sz w:val="32"/>
                <w:szCs w:val="24"/>
                <w:lang w:val="en-US" w:eastAsia="zh-CN"/>
              </w:rPr>
              <w:t>999.09</w:t>
            </w:r>
            <w:r>
              <w:rPr>
                <w:rFonts w:hint="eastAsia" w:ascii="仿宋_GB2312" w:hAnsi="仿宋_GB2312" w:eastAsia="仿宋_GB2312"/>
                <w:sz w:val="32"/>
                <w:szCs w:val="24"/>
              </w:rPr>
              <w:t>万元，公用支出</w:t>
            </w:r>
            <w:r>
              <w:rPr>
                <w:rFonts w:hint="eastAsia" w:ascii="仿宋_GB2312" w:hAnsi="仿宋_GB2312" w:eastAsia="仿宋_GB2312"/>
                <w:sz w:val="32"/>
                <w:szCs w:val="24"/>
                <w:lang w:val="en-US" w:eastAsia="zh-CN"/>
              </w:rPr>
              <w:t>167.78</w:t>
            </w:r>
            <w:r>
              <w:rPr>
                <w:rFonts w:hint="eastAsia" w:ascii="仿宋_GB2312" w:hAnsi="仿宋_GB2312" w:eastAsia="仿宋_GB2312"/>
                <w:sz w:val="32"/>
                <w:szCs w:val="24"/>
              </w:rPr>
              <w:t>万元；</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2.项目支出</w:t>
            </w:r>
            <w:r>
              <w:rPr>
                <w:rFonts w:hint="eastAsia" w:ascii="仿宋_GB2312" w:hAnsi="仿宋_GB2312" w:eastAsia="仿宋_GB2312"/>
                <w:sz w:val="32"/>
                <w:szCs w:val="24"/>
                <w:lang w:val="en-US" w:eastAsia="zh-CN"/>
              </w:rPr>
              <w:t>1731.30</w:t>
            </w:r>
            <w:r>
              <w:rPr>
                <w:rFonts w:hint="eastAsia" w:ascii="仿宋_GB2312" w:hAnsi="仿宋_GB2312" w:eastAsia="仿宋_GB2312"/>
                <w:sz w:val="32"/>
                <w:szCs w:val="24"/>
              </w:rPr>
              <w:t>万元；</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3.非财政拨款支出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（三）2023年市对区转移支付项目预算为</w:t>
            </w:r>
            <w:r>
              <w:rPr>
                <w:rFonts w:hint="eastAsia" w:ascii="仿宋_GB2312" w:hAnsi="仿宋_GB2312" w:eastAsia="仿宋_GB2312"/>
                <w:sz w:val="32"/>
                <w:szCs w:val="24"/>
                <w:lang w:val="en-US" w:eastAsia="zh-CN"/>
              </w:rPr>
              <w:t>331.70</w:t>
            </w:r>
            <w:r>
              <w:rPr>
                <w:rFonts w:hint="eastAsia" w:ascii="仿宋_GB2312" w:hAnsi="仿宋_GB2312" w:eastAsia="仿宋_GB2312"/>
                <w:sz w:val="32"/>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tabs>
                <w:tab w:val="left" w:pos="7513"/>
              </w:tabs>
              <w:snapToGrid w:val="0"/>
              <w:spacing w:beforeLines="0" w:afterLines="0" w:line="560" w:lineRule="exact"/>
              <w:ind w:firstLine="643" w:firstLineChars="200"/>
              <w:rPr>
                <w:rFonts w:hint="eastAsia" w:ascii="仿宋_GB2312" w:hAnsi="仿宋_GB2312" w:eastAsia="仿宋_GB2312"/>
                <w:b/>
                <w:sz w:val="32"/>
                <w:szCs w:val="24"/>
                <w:lang w:val="en-US" w:eastAsia="zh-CN"/>
              </w:rPr>
            </w:pPr>
            <w:r>
              <w:rPr>
                <w:rFonts w:hint="eastAsia" w:ascii="仿宋_GB2312" w:hAnsi="仿宋_GB2312" w:eastAsia="仿宋_GB2312"/>
                <w:b/>
                <w:sz w:val="32"/>
                <w:szCs w:val="24"/>
                <w:lang w:val="en-US" w:eastAsia="zh-CN"/>
              </w:rPr>
              <w:t>二、一般公共预算财政拨款支出预算情况</w:t>
            </w:r>
          </w:p>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2023年度一般公共预算支出2898.17万元（不含市对区转移支付项目），比2022年预算数减少122.66万元，下降4.06%，主要是由于院士站专项经费减少。支出项目(按项级科目分类统计)包括：</w:t>
            </w:r>
          </w:p>
          <w:tbl>
            <w:tblPr>
              <w:tblStyle w:val="7"/>
              <w:tblW w:w="0" w:type="auto"/>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（一）科学技术支出（类）科学技术普及（款）机构运行（项）651.19万元。主要用于人员经费和保障机构正常运转,完成日常工作的公用经费支出。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（二）科学技术支出（类）科学技术普及（款）科普活动（项）337.30万元。主要用于开展科普活动支出。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（三）科学技术支出（类）科学技术普及（款）科技馆站（项）1,144.00万元。主要用于院士工作站建设补助支出。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（四）科学技术支出（类）科学技术普及（款）其他科学技术普及支出（项）250.00万元。主要用于院士工作站建设补助支出。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（五）社会保障和就业支出（类）行政事业单位养老支出（款）行政单位离退休（项）231.87万元。主要用于单位退休经费支出。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（六）社会保障和就业支出（类）行政事业单位养老支出（款）机关事业单位基本养老保险缴费支出（项）57.11万元。主要用于基本养老保险缴费支出。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（七）社会保障和就业支出（类）行政事业单位养老支出（款）机关事业单位职业年金缴费支出（项）38.50万元。主要用于职业年金缴费支出。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（八）卫生健康支出（类）行政事业单位医疗（款）行政单位医疗（项）24.45万元。主要用于单位医疗支出。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（九）卫生健康支出（类）行政事业单位医疗（款）公务员医疗补助（项）12.49万元。主要用于公务员医疗补助支出。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（十）住房保障支出（类）住房改革支出（款）住房公积金（项）75.96万元。主要用于单位住房公积金支出。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cantSplit/>
              </w:trPr>
              <w:tc>
                <w:tcPr>
                  <w:tcW w:w="8702" w:type="dxa"/>
                  <w:tcBorders>
                    <w:top w:val="nil"/>
                    <w:left w:val="nil"/>
                    <w:bottom w:val="nil"/>
                    <w:right w:val="nil"/>
                    <w:tl2br w:val="nil"/>
                    <w:tr2bl w:val="nil"/>
                  </w:tcBorders>
                  <w:noWrap w:val="0"/>
                  <w:tcMar>
                    <w:left w:w="24" w:type="dxa"/>
                  </w:tcMar>
                  <w:vAlign w:val="center"/>
                </w:tcPr>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（十一）住房保障支出（类）住房改革支出（款）提租补贴（项）75.30万元。主要用于单位提租补贴支出。</w:t>
                  </w:r>
                </w:p>
              </w:tc>
            </w:tr>
          </w:tbl>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tabs>
                <w:tab w:val="left" w:pos="7513"/>
              </w:tabs>
              <w:snapToGrid w:val="0"/>
              <w:spacing w:beforeLines="0" w:afterLines="0" w:line="560" w:lineRule="exact"/>
              <w:ind w:firstLine="643" w:firstLineChars="200"/>
              <w:rPr>
                <w:rFonts w:hint="eastAsia" w:ascii="仿宋_GB2312" w:hAnsi="仿宋_GB2312" w:eastAsia="仿宋_GB2312"/>
                <w:b/>
                <w:sz w:val="32"/>
                <w:szCs w:val="24"/>
                <w:lang w:val="en-US" w:eastAsia="zh-CN"/>
              </w:rPr>
            </w:pPr>
            <w:r>
              <w:rPr>
                <w:rFonts w:hint="eastAsia" w:ascii="仿宋_GB2312" w:hAnsi="仿宋_GB2312" w:eastAsia="仿宋_GB2312"/>
                <w:b/>
                <w:sz w:val="32"/>
                <w:szCs w:val="24"/>
                <w:lang w:val="en-US" w:eastAsia="zh-CN"/>
              </w:rPr>
              <w:t>三、政府性基金预算财政拨款支出情况</w:t>
            </w:r>
          </w:p>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2023年度政府性基金支出万元（不含市对区转移支付项目），比2022年预算数增加0万元，增长0%，主要是由于厦门市科协2022年度、2023年度均未使用政府性基金预算拨款安排支出，即2023年度预算数为0，与上年持平。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tabs>
                <w:tab w:val="left" w:pos="7513"/>
              </w:tabs>
              <w:snapToGrid w:val="0"/>
              <w:spacing w:beforeLines="0" w:afterLines="0" w:line="560" w:lineRule="exact"/>
              <w:ind w:firstLine="643" w:firstLineChars="200"/>
              <w:rPr>
                <w:rFonts w:hint="eastAsia" w:ascii="仿宋_GB2312" w:hAnsi="仿宋_GB2312" w:eastAsia="仿宋_GB2312"/>
                <w:sz w:val="32"/>
                <w:szCs w:val="24"/>
                <w:lang w:val="en-US" w:eastAsia="zh-CN"/>
              </w:rPr>
            </w:pPr>
            <w:r>
              <w:rPr>
                <w:rFonts w:hint="eastAsia" w:ascii="仿宋_GB2312" w:hAnsi="仿宋_GB2312" w:eastAsia="仿宋_GB2312"/>
                <w:b/>
                <w:sz w:val="32"/>
                <w:szCs w:val="24"/>
                <w:lang w:val="en-US" w:eastAsia="zh-CN"/>
              </w:rPr>
              <w:t>四、“三公”经费财政拨款预算情况</w:t>
            </w:r>
          </w:p>
          <w:p>
            <w:pPr>
              <w:tabs>
                <w:tab w:val="left" w:pos="7513"/>
              </w:tabs>
              <w:snapToGrid w:val="0"/>
              <w:spacing w:beforeLines="0" w:afterLines="0" w:line="56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单位2023年“三公”经费财政拨款预算数为0.90万元，其中：因公出国（境）经费0.00万元，公务接待费0.90万元，公务用车购置及运行费0.00万元。具体情况如下：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（一）因公出国（境）经费</w:t>
            </w:r>
          </w:p>
          <w:p>
            <w:pPr>
              <w:spacing w:beforeLines="0" w:afterLines="0" w:line="555" w:lineRule="exact"/>
              <w:ind w:firstLine="640"/>
              <w:rPr>
                <w:rFonts w:hint="eastAsia" w:ascii="仿宋_GB2312" w:hAnsi="仿宋_GB2312" w:eastAsia="仿宋_GB2312"/>
                <w:sz w:val="32"/>
                <w:szCs w:val="24"/>
                <w:lang w:val="en-US" w:eastAsia="zh-CN"/>
              </w:rPr>
            </w:pPr>
            <w:r>
              <w:rPr>
                <w:rFonts w:hint="eastAsia" w:ascii="仿宋_GB2312" w:hAnsi="仿宋_GB2312" w:eastAsia="仿宋_GB2312"/>
                <w:sz w:val="32"/>
                <w:szCs w:val="24"/>
              </w:rPr>
              <w:t>2023年预算安排0.00万元。与上年预算相比</w:t>
            </w:r>
            <w:r>
              <w:rPr>
                <w:rFonts w:hint="eastAsia" w:ascii="仿宋_GB2312" w:hAnsi="仿宋_GB2312" w:eastAsia="仿宋_GB2312"/>
                <w:sz w:val="32"/>
                <w:szCs w:val="24"/>
                <w:lang w:eastAsia="zh-CN"/>
              </w:rPr>
              <w:t>持平。主要原因是：</w:t>
            </w:r>
            <w:r>
              <w:rPr>
                <w:rFonts w:hint="eastAsia" w:ascii="仿宋_GB2312" w:hAnsi="仿宋_GB2312" w:eastAsia="仿宋_GB2312"/>
                <w:sz w:val="32"/>
                <w:szCs w:val="24"/>
                <w:lang w:val="en-US" w:eastAsia="zh-CN"/>
              </w:rPr>
              <w:t>2022年度、2023年度均未安排因公出国（境）经费。</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lang w:val="en-US" w:eastAsia="zh-CN"/>
              </w:rPr>
              <w:t>（二）</w:t>
            </w:r>
            <w:r>
              <w:rPr>
                <w:rFonts w:hint="eastAsia" w:ascii="仿宋_GB2312" w:hAnsi="仿宋_GB2312" w:eastAsia="仿宋_GB2312"/>
                <w:sz w:val="32"/>
                <w:szCs w:val="24"/>
              </w:rPr>
              <w:t>公务接待费</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2023年预算安排0.</w:t>
            </w:r>
            <w:r>
              <w:rPr>
                <w:rFonts w:hint="eastAsia" w:ascii="仿宋_GB2312" w:hAnsi="仿宋_GB2312" w:eastAsia="仿宋_GB2312"/>
                <w:sz w:val="32"/>
                <w:szCs w:val="24"/>
                <w:lang w:val="en-US" w:eastAsia="zh-CN"/>
              </w:rPr>
              <w:t>9</w:t>
            </w:r>
            <w:r>
              <w:rPr>
                <w:rFonts w:hint="eastAsia" w:ascii="仿宋_GB2312" w:hAnsi="仿宋_GB2312" w:eastAsia="仿宋_GB2312"/>
                <w:sz w:val="32"/>
                <w:szCs w:val="24"/>
              </w:rPr>
              <w:t>0万元。主要用于</w:t>
            </w:r>
            <w:r>
              <w:rPr>
                <w:rFonts w:hint="eastAsia" w:ascii="仿宋_GB2312" w:hAnsi="仿宋_GB2312" w:eastAsia="仿宋_GB2312"/>
                <w:sz w:val="32"/>
                <w:szCs w:val="24"/>
                <w:lang w:val="en-US" w:eastAsia="zh-CN"/>
              </w:rPr>
              <w:t>2023年度公务接待活动。</w:t>
            </w:r>
            <w:r>
              <w:rPr>
                <w:rFonts w:hint="eastAsia" w:ascii="仿宋_GB2312" w:hAnsi="仿宋_GB2312" w:eastAsia="仿宋_GB2312"/>
                <w:sz w:val="32"/>
                <w:szCs w:val="24"/>
              </w:rPr>
              <w:t>与上年预算</w:t>
            </w:r>
            <w:r>
              <w:rPr>
                <w:rFonts w:hint="eastAsia" w:ascii="仿宋_GB2312" w:hAnsi="仿宋_GB2312" w:eastAsia="仿宋_GB2312"/>
                <w:sz w:val="32"/>
                <w:szCs w:val="24"/>
                <w:lang w:eastAsia="zh-CN"/>
              </w:rPr>
              <w:t>相比持平</w:t>
            </w:r>
            <w:r>
              <w:rPr>
                <w:rFonts w:hint="eastAsia" w:ascii="仿宋_GB2312" w:hAnsi="仿宋_GB2312" w:eastAsia="仿宋_GB2312"/>
                <w:sz w:val="32"/>
                <w:szCs w:val="24"/>
              </w:rPr>
              <w:t>，主要原因是:</w:t>
            </w:r>
            <w:r>
              <w:rPr>
                <w:rFonts w:hint="eastAsia" w:ascii="仿宋_GB2312" w:hAnsi="仿宋_GB2312" w:eastAsia="仿宋_GB2312"/>
                <w:sz w:val="32"/>
                <w:szCs w:val="24"/>
                <w:lang w:eastAsia="zh-CN"/>
              </w:rPr>
              <w:t>严格控制“三公”经费</w:t>
            </w:r>
            <w:r>
              <w:rPr>
                <w:rFonts w:hint="eastAsia" w:ascii="仿宋_GB2312" w:hAnsi="仿宋_GB2312" w:eastAsia="仿宋_GB2312"/>
                <w:sz w:val="32"/>
                <w:szCs w:val="24"/>
              </w:rPr>
              <w:t>。</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lang w:eastAsia="zh-CN"/>
              </w:rPr>
              <w:t>（三）</w:t>
            </w:r>
            <w:r>
              <w:rPr>
                <w:rFonts w:hint="eastAsia" w:ascii="仿宋_GB2312" w:hAnsi="仿宋_GB2312" w:eastAsia="仿宋_GB2312"/>
                <w:sz w:val="32"/>
                <w:szCs w:val="24"/>
              </w:rPr>
              <w:t>公务用车购置及运行费</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2023年预算安排0.00万元，其中：公务用车运行费0.00万元，主要用于公务用车燃油、维修、保险等方面支出；公务用车购置费0.00万元。与上年预算相比增长</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%，主要原因是:</w:t>
            </w:r>
            <w:r>
              <w:rPr>
                <w:rFonts w:hint="eastAsia" w:ascii="仿宋_GB2312" w:hAnsi="仿宋_GB2312" w:eastAsia="仿宋_GB2312"/>
                <w:sz w:val="32"/>
                <w:szCs w:val="24"/>
                <w:lang w:val="en-US" w:eastAsia="zh-CN"/>
              </w:rPr>
              <w:t>2022年与2023年均无公务用车购置及运行预算</w:t>
            </w:r>
            <w:r>
              <w:rPr>
                <w:rFonts w:hint="eastAsia" w:ascii="仿宋_GB2312" w:hAnsi="仿宋_GB2312" w:eastAsia="仿宋_GB2312"/>
                <w:sz w:val="32"/>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rPr>
                <w:rFonts w:hint="eastAsia" w:ascii="华文仿宋" w:hAnsi="华文仿宋" w:eastAsia="华文仿宋"/>
                <w:sz w:val="32"/>
                <w:szCs w:val="24"/>
              </w:rPr>
            </w:pPr>
            <w:r>
              <w:rPr>
                <w:rFonts w:hint="eastAsia" w:ascii="黑体" w:hAnsi="黑体" w:eastAsia="黑体"/>
                <w:sz w:val="32"/>
                <w:szCs w:val="24"/>
              </w:rPr>
              <w:t>　　五、其他重要事项的情况说明</w:t>
            </w:r>
          </w:p>
          <w:p>
            <w:pPr>
              <w:spacing w:beforeLines="0" w:afterLines="0" w:line="555" w:lineRule="exact"/>
              <w:rPr>
                <w:rFonts w:hint="eastAsia" w:ascii="仿宋_GB2312" w:hAnsi="仿宋_GB2312" w:eastAsia="仿宋_GB2312"/>
                <w:sz w:val="32"/>
                <w:szCs w:val="24"/>
              </w:rPr>
            </w:pPr>
            <w:r>
              <w:rPr>
                <w:rFonts w:hint="eastAsia" w:ascii="华文仿宋" w:hAnsi="华文仿宋" w:eastAsia="华文仿宋"/>
                <w:sz w:val="32"/>
                <w:szCs w:val="24"/>
              </w:rPr>
              <w:t>　　</w:t>
            </w:r>
            <w:r>
              <w:rPr>
                <w:rFonts w:hint="eastAsia" w:ascii="楷体_GB2312" w:hAnsi="楷体_GB2312" w:eastAsia="楷体_GB2312"/>
                <w:sz w:val="32"/>
                <w:szCs w:val="24"/>
              </w:rPr>
              <w:t>（一）机关运行经费</w:t>
            </w:r>
          </w:p>
          <w:p>
            <w:pPr>
              <w:spacing w:beforeLines="0" w:afterLines="0" w:line="555" w:lineRule="exact"/>
              <w:rPr>
                <w:rFonts w:hint="eastAsia" w:ascii="华文仿宋" w:hAnsi="华文仿宋" w:eastAsia="华文仿宋"/>
                <w:sz w:val="32"/>
                <w:szCs w:val="24"/>
              </w:rPr>
            </w:pPr>
            <w:r>
              <w:rPr>
                <w:rFonts w:hint="eastAsia" w:ascii="仿宋_GB2312" w:hAnsi="仿宋_GB2312" w:eastAsia="仿宋_GB2312"/>
                <w:sz w:val="32"/>
                <w:szCs w:val="24"/>
              </w:rPr>
              <w:t>　　2023年的机关运行经费财政拨款预算</w:t>
            </w:r>
            <w:r>
              <w:rPr>
                <w:rFonts w:hint="eastAsia" w:ascii="仿宋_GB2312" w:hAnsi="仿宋_GB2312" w:eastAsia="仿宋_GB2312"/>
                <w:sz w:val="32"/>
                <w:szCs w:val="24"/>
                <w:lang w:val="en-US" w:eastAsia="zh-CN"/>
              </w:rPr>
              <w:t>167.78</w:t>
            </w:r>
            <w:r>
              <w:rPr>
                <w:rFonts w:hint="eastAsia" w:ascii="仿宋_GB2312" w:hAnsi="仿宋_GB2312" w:eastAsia="仿宋_GB2312"/>
                <w:sz w:val="32"/>
                <w:szCs w:val="24"/>
              </w:rPr>
              <w:t>万元，比2022年预算</w:t>
            </w:r>
            <w:r>
              <w:rPr>
                <w:rFonts w:hint="eastAsia" w:ascii="仿宋_GB2312" w:hAnsi="仿宋_GB2312" w:eastAsia="仿宋_GB2312"/>
                <w:sz w:val="32"/>
                <w:szCs w:val="24"/>
                <w:lang w:val="en-US" w:eastAsia="zh-CN"/>
              </w:rPr>
              <w:t>，减少7.10</w:t>
            </w:r>
            <w:r>
              <w:rPr>
                <w:rFonts w:hint="eastAsia" w:ascii="仿宋_GB2312" w:hAnsi="仿宋_GB2312" w:eastAsia="仿宋_GB2312"/>
                <w:sz w:val="32"/>
                <w:szCs w:val="24"/>
              </w:rPr>
              <w:t>万元，</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lang w:val="en-US" w:eastAsia="zh-CN"/>
              </w:rPr>
              <w:t>4.05</w:t>
            </w:r>
            <w:r>
              <w:rPr>
                <w:rFonts w:hint="eastAsia" w:ascii="仿宋_GB2312" w:hAnsi="仿宋_GB2312" w:eastAsia="仿宋_GB2312"/>
                <w:sz w:val="32"/>
                <w:szCs w:val="24"/>
              </w:rPr>
              <w:t>%。</w:t>
            </w:r>
          </w:p>
          <w:p>
            <w:pPr>
              <w:spacing w:beforeLines="0" w:afterLines="0" w:line="555" w:lineRule="exact"/>
              <w:rPr>
                <w:rFonts w:hint="eastAsia" w:ascii="仿宋_GB2312" w:hAnsi="仿宋_GB2312" w:eastAsia="仿宋_GB2312"/>
                <w:sz w:val="32"/>
                <w:szCs w:val="24"/>
              </w:rPr>
            </w:pPr>
            <w:r>
              <w:rPr>
                <w:rFonts w:hint="eastAsia" w:ascii="华文仿宋" w:hAnsi="华文仿宋" w:eastAsia="华文仿宋"/>
                <w:sz w:val="32"/>
                <w:szCs w:val="24"/>
              </w:rPr>
              <w:t>　　</w:t>
            </w:r>
            <w:r>
              <w:rPr>
                <w:rFonts w:hint="eastAsia" w:ascii="楷体_GB2312" w:hAnsi="楷体_GB2312" w:eastAsia="楷体_GB2312"/>
                <w:sz w:val="32"/>
                <w:szCs w:val="24"/>
              </w:rPr>
              <w:t>（二）政府采购情况</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2023年政府采购预算总额</w:t>
            </w:r>
            <w:r>
              <w:rPr>
                <w:rFonts w:hint="eastAsia" w:ascii="仿宋_GB2312" w:hAnsi="仿宋_GB2312" w:eastAsia="仿宋_GB2312"/>
                <w:sz w:val="32"/>
                <w:szCs w:val="24"/>
                <w:lang w:val="en-US" w:eastAsia="zh-CN"/>
              </w:rPr>
              <w:t>10</w:t>
            </w:r>
            <w:r>
              <w:rPr>
                <w:rFonts w:hint="eastAsia" w:ascii="仿宋_GB2312" w:hAnsi="仿宋_GB2312" w:eastAsia="仿宋_GB2312"/>
                <w:sz w:val="32"/>
                <w:szCs w:val="24"/>
              </w:rPr>
              <w:t>.00万元，其中：政府采购货物预算0.00万元，政府采购工程预算0.00万元，政府采购服务预算</w:t>
            </w:r>
            <w:r>
              <w:rPr>
                <w:rFonts w:hint="eastAsia" w:ascii="仿宋_GB2312" w:hAnsi="仿宋_GB2312" w:eastAsia="仿宋_GB2312"/>
                <w:sz w:val="32"/>
                <w:szCs w:val="24"/>
                <w:lang w:val="en-US" w:eastAsia="zh-CN"/>
              </w:rPr>
              <w:t>10</w:t>
            </w:r>
            <w:r>
              <w:rPr>
                <w:rFonts w:hint="eastAsia" w:ascii="仿宋_GB2312" w:hAnsi="仿宋_GB2312" w:eastAsia="仿宋_GB2312"/>
                <w:sz w:val="32"/>
                <w:szCs w:val="24"/>
              </w:rPr>
              <w:t>.00万元。</w:t>
            </w:r>
          </w:p>
          <w:p>
            <w:pPr>
              <w:spacing w:beforeLines="0" w:afterLines="0" w:line="555" w:lineRule="exact"/>
              <w:ind w:firstLine="640"/>
              <w:rPr>
                <w:rFonts w:hint="eastAsia" w:ascii="仿宋_GB2312" w:hAnsi="仿宋_GB2312" w:eastAsia="仿宋_GB2312"/>
                <w:sz w:val="32"/>
                <w:szCs w:val="24"/>
              </w:rPr>
            </w:pPr>
            <w:r>
              <w:rPr>
                <w:rFonts w:hint="eastAsia" w:ascii="楷体_GB2312" w:hAnsi="楷体_GB2312" w:eastAsia="楷体_GB2312"/>
                <w:sz w:val="32"/>
                <w:szCs w:val="24"/>
              </w:rPr>
              <w:t>（三）国有资产占有使用情况</w:t>
            </w:r>
          </w:p>
          <w:p>
            <w:pPr>
              <w:spacing w:beforeLines="0" w:afterLines="0" w:line="555" w:lineRule="exact"/>
              <w:rPr>
                <w:rFonts w:hint="eastAsia" w:ascii="楷体_GB2312" w:hAnsi="楷体_GB2312" w:eastAsia="楷体_GB2312"/>
                <w:sz w:val="32"/>
                <w:szCs w:val="24"/>
              </w:rPr>
            </w:pPr>
            <w:r>
              <w:rPr>
                <w:rFonts w:hint="eastAsia" w:ascii="仿宋_GB2312" w:hAnsi="仿宋_GB2312" w:eastAsia="仿宋_GB2312"/>
                <w:sz w:val="32"/>
                <w:szCs w:val="24"/>
              </w:rPr>
              <w:t>　　截至2022年12月31日，所属各预算单位共有车辆</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辆，单位价值50万以上通用设备</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台（套），单位价值100万以上专用设备</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台（套）。</w:t>
            </w:r>
          </w:p>
          <w:p>
            <w:pPr>
              <w:spacing w:beforeLines="0" w:afterLines="0" w:line="555" w:lineRule="exact"/>
              <w:rPr>
                <w:rFonts w:hint="eastAsia" w:ascii="仿宋_GB2312" w:hAnsi="仿宋_GB2312" w:eastAsia="仿宋_GB2312"/>
                <w:sz w:val="32"/>
                <w:szCs w:val="24"/>
              </w:rPr>
            </w:pPr>
            <w:r>
              <w:rPr>
                <w:rFonts w:hint="eastAsia" w:ascii="楷体_GB2312" w:hAnsi="楷体_GB2312" w:eastAsia="楷体_GB2312"/>
                <w:sz w:val="32"/>
                <w:szCs w:val="24"/>
              </w:rPr>
              <w:t>　　（四）绩效目标设置情况</w:t>
            </w:r>
          </w:p>
          <w:p>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2023年实行绩效目标管理的二级项目4个，涉及一般公共预算拨款1,725.70万元、政府性基金预算拨款0.00万元。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ind w:left="20"/>
              <w:jc w:val="center"/>
              <w:rPr>
                <w:rFonts w:hint="eastAsia" w:ascii="黑体" w:hAnsi="黑体" w:eastAsia="黑体"/>
                <w:sz w:val="32"/>
                <w:szCs w:val="24"/>
              </w:rPr>
            </w:pPr>
          </w:p>
          <w:p>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第三部分  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一、基本支出：指为保障机构正常运转、完成日常工作任务而发生的人员支出、对个人和家庭的补助支出和公用支出。</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二、项目支出：指在基本支出之外为完成特定行政任务和事业发展目标所发生的支出，包括部门专项、发展经费和基建项目。</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三、“三公”经费：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四、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beforeLines="0" w:afterLines="0" w:line="555" w:lineRule="exact"/>
              <w:ind w:firstLine="640"/>
              <w:rPr>
                <w:rFonts w:hint="eastAsia" w:ascii="仿宋_GB2312" w:hAnsi="仿宋_GB2312" w:eastAsia="仿宋_GB2312"/>
                <w:sz w:val="32"/>
                <w:szCs w:val="24"/>
                <w:lang w:eastAsia="zh-CN"/>
              </w:rPr>
            </w:pPr>
            <w:r>
              <w:rPr>
                <w:rFonts w:hint="eastAsia" w:ascii="仿宋_GB2312" w:hAnsi="仿宋_GB2312" w:eastAsia="仿宋_GB2312"/>
                <w:sz w:val="32"/>
                <w:szCs w:val="24"/>
              </w:rPr>
              <w:t>五、其他名词解释。</w:t>
            </w:r>
            <w:r>
              <w:rPr>
                <w:rFonts w:hint="eastAsia" w:ascii="仿宋_GB2312" w:hAnsi="仿宋_GB2312" w:eastAsia="仿宋_GB2312"/>
                <w:sz w:val="32"/>
                <w:szCs w:val="24"/>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ind w:firstLine="640"/>
              <w:jc w:val="center"/>
              <w:rPr>
                <w:rFonts w:hint="eastAsia" w:ascii="仿宋_GB2312" w:hAnsi="仿宋_GB2312" w:eastAsia="仿宋_GB2312"/>
                <w:b/>
                <w:sz w:val="32"/>
                <w:szCs w:val="24"/>
              </w:rPr>
            </w:pPr>
          </w:p>
          <w:p>
            <w:pPr>
              <w:spacing w:beforeLines="0" w:afterLines="0" w:line="555" w:lineRule="exact"/>
              <w:ind w:firstLine="640"/>
              <w:jc w:val="center"/>
              <w:rPr>
                <w:rFonts w:hint="eastAsia" w:ascii="仿宋_GB2312" w:hAnsi="仿宋_GB2312" w:eastAsia="仿宋_GB2312"/>
                <w:sz w:val="32"/>
                <w:szCs w:val="24"/>
              </w:rPr>
            </w:pPr>
            <w:r>
              <w:rPr>
                <w:rFonts w:hint="eastAsia" w:ascii="仿宋_GB2312" w:hAnsi="仿宋_GB2312" w:eastAsia="仿宋_GB2312"/>
                <w:b/>
                <w:sz w:val="32"/>
                <w:szCs w:val="24"/>
              </w:rPr>
              <w:t>第四部分  2023年</w:t>
            </w:r>
            <w:r>
              <w:rPr>
                <w:rFonts w:hint="eastAsia" w:ascii="仿宋_GB2312" w:hAnsi="仿宋_GB2312" w:eastAsia="仿宋_GB2312"/>
                <w:b/>
                <w:sz w:val="32"/>
                <w:szCs w:val="24"/>
                <w:lang w:eastAsia="zh-CN"/>
              </w:rPr>
              <w:t>部门</w:t>
            </w:r>
            <w:r>
              <w:rPr>
                <w:rFonts w:hint="eastAsia" w:ascii="仿宋_GB2312" w:hAnsi="仿宋_GB2312" w:eastAsia="仿宋_GB2312"/>
                <w:b/>
                <w:sz w:val="32"/>
                <w:szCs w:val="24"/>
              </w:rPr>
              <w:t>预算附表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一、部门收支预算总体情况表</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二、部门收入预算总体情况表</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三、部门支出预算总体情况表</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四、财政拨款收支预算总体情况表</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五、一般公共预算支出情况表</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六、一般公共预算基本支出情况表（经济分类款级科目）</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七、一般公共预算“三公”经费支出情况表</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八、政府性基金预算支出情况表</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九、市对区转移支付项目支出预算表</w:t>
            </w:r>
          </w:p>
          <w:p>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十、二级项目绩效目标表</w:t>
            </w:r>
          </w:p>
        </w:tc>
      </w:tr>
    </w:tbl>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4"/>
          <w:szCs w:val="24"/>
        </w:rPr>
      </w:pPr>
    </w:p>
    <w:sectPr>
      <w:footerReference r:id="rId4" w:type="default"/>
      <w:pgSz w:w="11905" w:h="16837"/>
      <w:pgMar w:top="1388" w:right="1559" w:bottom="1388" w:left="155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方正小标宋简体">
    <w:altName w:val="仿宋_GB2312"/>
    <w:panose1 w:val="03000509000000000000"/>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华文仿宋">
    <w:altName w:val="仿宋"/>
    <w:panose1 w:val="02010600040101010101"/>
    <w:charset w:val="86"/>
    <w:family w:val="roman"/>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jc w:val="center"/>
      </w:trPr>
      <w:tc>
        <w:tcPr>
          <w:tcW w:w="3163" w:type="dxa"/>
          <w:tcBorders>
            <w:top w:val="nil"/>
            <w:left w:val="nil"/>
            <w:bottom w:val="nil"/>
            <w:right w:val="nil"/>
            <w:tl2br w:val="nil"/>
            <w:tr2bl w:val="nil"/>
          </w:tcBorders>
          <w:shd w:val="clear" w:color="auto" w:fill="FFFFFF"/>
          <w:noWrap w:val="0"/>
          <w:vAlign w:val="top"/>
        </w:tcPr>
        <w:p>
          <w:pPr>
            <w:spacing w:beforeLines="0" w:afterLines="0"/>
            <w:rPr>
              <w:rFonts w:hint="default"/>
              <w:sz w:val="24"/>
              <w:szCs w:val="24"/>
            </w:rPr>
          </w:pPr>
        </w:p>
      </w:tc>
      <w:tc>
        <w:tcPr>
          <w:tcW w:w="3163" w:type="dxa"/>
          <w:tcBorders>
            <w:top w:val="nil"/>
            <w:left w:val="nil"/>
            <w:bottom w:val="nil"/>
            <w:right w:val="nil"/>
            <w:tl2br w:val="nil"/>
            <w:tr2bl w:val="nil"/>
          </w:tcBorders>
          <w:shd w:val="clear" w:color="auto" w:fill="FFFFFF"/>
          <w:noWrap w:val="0"/>
          <w:vAlign w:val="top"/>
        </w:tcPr>
        <w:p>
          <w:pPr>
            <w:spacing w:beforeLines="0" w:afterLines="0" w:line="320" w:lineRule="atLeast"/>
            <w:jc w:val="center"/>
            <w:rPr>
              <w:rFonts w:hint="eastAsia" w:ascii="宋体" w:hAnsi="宋体"/>
              <w:sz w:val="18"/>
              <w:szCs w:val="24"/>
            </w:rPr>
          </w:pPr>
          <w:r>
            <w:rPr>
              <w:rFonts w:hint="eastAsia" w:ascii="宋体" w:hAnsi="宋体"/>
              <w:sz w:val="18"/>
              <w:szCs w:val="24"/>
            </w:rPr>
            <w:fldChar w:fldCharType="begin"/>
          </w:r>
          <w:r>
            <w:rPr>
              <w:rFonts w:hint="eastAsia" w:ascii="宋体" w:hAnsi="宋体"/>
              <w:sz w:val="18"/>
              <w:szCs w:val="24"/>
            </w:rPr>
            <w:instrText xml:space="preserve">PAGE</w:instrText>
          </w:r>
          <w:r>
            <w:rPr>
              <w:rFonts w:hint="eastAsia" w:ascii="宋体" w:hAnsi="宋体"/>
              <w:sz w:val="18"/>
              <w:szCs w:val="24"/>
            </w:rPr>
            <w:fldChar w:fldCharType="separate"/>
          </w:r>
          <w:r>
            <w:rPr>
              <w:rFonts w:hint="eastAsia" w:ascii="宋体" w:hAnsi="宋体"/>
              <w:sz w:val="18"/>
              <w:szCs w:val="24"/>
            </w:rPr>
            <w:t xml:space="preserve"> </w:t>
          </w:r>
          <w:r>
            <w:rPr>
              <w:rFonts w:hint="eastAsia" w:ascii="宋体" w:hAnsi="宋体"/>
              <w:sz w:val="18"/>
              <w:szCs w:val="24"/>
            </w:rPr>
            <w:fldChar w:fldCharType="end"/>
          </w:r>
          <w:r>
            <w:rPr>
              <w:rFonts w:hint="eastAsia" w:ascii="宋体" w:hAnsi="宋体"/>
              <w:sz w:val="18"/>
              <w:szCs w:val="24"/>
            </w:rPr>
            <w:t xml:space="preserve"> </w:t>
          </w:r>
        </w:p>
      </w:tc>
      <w:tc>
        <w:tcPr>
          <w:tcW w:w="3163" w:type="dxa"/>
          <w:tcBorders>
            <w:top w:val="nil"/>
            <w:left w:val="nil"/>
            <w:bottom w:val="nil"/>
            <w:right w:val="nil"/>
            <w:tl2br w:val="nil"/>
            <w:tr2bl w:val="nil"/>
          </w:tcBorders>
          <w:shd w:val="clear" w:color="auto" w:fill="FFFFFF"/>
          <w:noWrap w:val="0"/>
          <w:vAlign w:val="top"/>
        </w:tcPr>
        <w:p>
          <w:pPr>
            <w:spacing w:beforeLines="0" w:afterLines="0"/>
            <w:rPr>
              <w:rFonts w:hint="default"/>
              <w:sz w:val="24"/>
              <w:szCs w:val="24"/>
            </w:rPr>
          </w:pPr>
        </w:p>
      </w:tc>
    </w:tr>
  </w:tbl>
  <w:p>
    <w:pPr>
      <w:spacing w:beforeLines="0" w:afterLines="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2D22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0"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spacing w:beforeLines="0" w:afterLines="0"/>
    </w:pPr>
    <w:rPr>
      <w:rFonts w:hint="default" w:ascii="Arial" w:hAnsi="Arial" w:eastAsia="宋体"/>
      <w:color w:val="000000"/>
      <w:sz w:val="24"/>
      <w:szCs w:val="24"/>
    </w:rPr>
  </w:style>
  <w:style w:type="paragraph" w:styleId="4">
    <w:name w:val="heading 1"/>
    <w:unhideWhenUsed/>
    <w:uiPriority w:val="99"/>
    <w:pPr>
      <w:widowControl w:val="0"/>
      <w:autoSpaceDE w:val="0"/>
      <w:autoSpaceDN w:val="0"/>
      <w:adjustRightInd w:val="0"/>
      <w:spacing w:beforeLines="0" w:afterLines="0"/>
    </w:pPr>
    <w:rPr>
      <w:rFonts w:hint="default" w:ascii="Arial" w:hAnsi="Arial" w:eastAsia="宋体"/>
      <w:b/>
      <w:color w:val="000000"/>
      <w:sz w:val="32"/>
      <w:szCs w:val="24"/>
    </w:rPr>
  </w:style>
  <w:style w:type="paragraph" w:styleId="5">
    <w:name w:val="heading 2"/>
    <w:unhideWhenUsed/>
    <w:uiPriority w:val="99"/>
    <w:pPr>
      <w:widowControl w:val="0"/>
      <w:autoSpaceDE w:val="0"/>
      <w:autoSpaceDN w:val="0"/>
      <w:adjustRightInd w:val="0"/>
      <w:spacing w:beforeLines="0" w:afterLines="0"/>
    </w:pPr>
    <w:rPr>
      <w:rFonts w:hint="default" w:ascii="Arial" w:hAnsi="Arial" w:eastAsia="宋体"/>
      <w:b/>
      <w:i/>
      <w:color w:val="000000"/>
      <w:sz w:val="28"/>
      <w:szCs w:val="24"/>
    </w:rPr>
  </w:style>
  <w:style w:type="paragraph" w:styleId="6">
    <w:name w:val="heading 3"/>
    <w:unhideWhenUsed/>
    <w:uiPriority w:val="99"/>
    <w:pPr>
      <w:widowControl w:val="0"/>
      <w:autoSpaceDE w:val="0"/>
      <w:autoSpaceDN w:val="0"/>
      <w:adjustRightInd w:val="0"/>
      <w:spacing w:beforeLines="0" w:afterLines="0"/>
    </w:pPr>
    <w:rPr>
      <w:rFonts w:hint="default" w:ascii="Arial" w:hAnsi="Arial" w:eastAsia="宋体"/>
      <w:b/>
      <w:color w:val="000000"/>
      <w:sz w:val="26"/>
      <w:szCs w:val="24"/>
    </w:rPr>
  </w:style>
  <w:style w:type="character" w:default="1" w:styleId="8">
    <w:name w:val="Default Paragraph Font"/>
    <w:unhideWhenUsed/>
    <w:qFormat/>
    <w:uiPriority w:val="0"/>
    <w:rPr>
      <w:rFonts w:hint="default"/>
      <w:sz w:val="24"/>
      <w:szCs w:val="24"/>
    </w:rPr>
  </w:style>
  <w:style w:type="table" w:default="1" w:styleId="7">
    <w:name w:val="Normal Table"/>
    <w:qFormat/>
    <w:uiPriority w:val="0"/>
    <w:tblPr>
      <w:tblCellMar>
        <w:top w:w="0" w:type="dxa"/>
        <w:left w:w="108" w:type="dxa"/>
        <w:bottom w:w="0" w:type="dxa"/>
        <w:right w:w="108" w:type="dxa"/>
      </w:tblCellMar>
    </w:tblPr>
  </w:style>
  <w:style w:type="paragraph" w:customStyle="1" w:styleId="2">
    <w:name w:val="1.正文"/>
    <w:basedOn w:val="1"/>
    <w:next w:val="3"/>
    <w:unhideWhenUsed/>
    <w:qFormat/>
    <w:uiPriority w:val="99"/>
    <w:pPr>
      <w:spacing w:beforeLines="0" w:afterLines="0"/>
    </w:pPr>
    <w:rPr>
      <w:rFonts w:hint="default" w:ascii="Calibri"/>
      <w:sz w:val="24"/>
      <w:szCs w:val="24"/>
    </w:rPr>
  </w:style>
  <w:style w:type="paragraph" w:styleId="3">
    <w:name w:val="header"/>
    <w:basedOn w:val="1"/>
    <w:unhideWhenUsed/>
    <w:uiPriority w:val="0"/>
    <w:pPr>
      <w:tabs>
        <w:tab w:val="center" w:pos="4153"/>
        <w:tab w:val="right" w:pos="8306"/>
      </w:tabs>
      <w:snapToGrid w:val="0"/>
      <w:spacing w:beforeLines="0" w:afterLines="0"/>
      <w:jc w:val="both"/>
    </w:pPr>
    <w:rPr>
      <w:rFonts w:hint="default" w:ascii="Times New Roman" w:hAnsi="Times New Roman"/>
      <w:sz w:val="18"/>
      <w:szCs w:val="24"/>
    </w:rPr>
  </w:style>
  <w:style w:type="paragraph" w:customStyle="1" w:styleId="9">
    <w:name w:val="p0"/>
    <w:basedOn w:val="1"/>
    <w:unhideWhenUsed/>
    <w:qFormat/>
    <w:uiPriority w:val="0"/>
    <w:pPr>
      <w:widowControl/>
      <w:spacing w:beforeLines="0" w:afterLines="0"/>
    </w:pPr>
    <w:rPr>
      <w:rFonts w:hint="default" w:ascii="Calibri" w:hAnsi="Calibri"/>
      <w:sz w:val="24"/>
      <w:szCs w:val="24"/>
    </w:rPr>
  </w:style>
  <w:style w:type="character" w:customStyle="1" w:styleId="10">
    <w:name w:val="style31"/>
    <w:basedOn w:val="8"/>
    <w:unhideWhenUsed/>
    <w:qFormat/>
    <w:uiPriority w:val="0"/>
    <w:rPr>
      <w:rFonts w:hint="default"/>
      <w:color w:val="auto"/>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4038</Words>
  <Characters>4377</Characters>
  <TotalTime>0</TotalTime>
  <ScaleCrop>false</ScaleCrop>
  <LinksUpToDate>false</LinksUpToDate>
  <CharactersWithSpaces>4499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2023-02-01T06:24:31Z</dcterms:created>
  <dc:creator>Administrator</dc:creator>
  <cp:lastModifiedBy>Administrator</cp:lastModifiedBy>
  <dcterms:modified xsi:type="dcterms:W3CDTF">2023-02-01T06:24:44Z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DFD282143F3A4D99AB28811E7778CCFD</vt:lpwstr>
  </property>
</Properties>
</file>